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十、中小微企业股改挂牌奖励</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（一）支持方向。</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eastAsia="zh-CN"/>
        </w:rPr>
        <w:t>支持企业</w:t>
      </w:r>
      <w:r>
        <w:rPr>
          <w:rFonts w:hint="eastAsia" w:ascii="方正仿宋_GBK" w:eastAsia="方正仿宋_GBK" w:cs="方正仿宋_GBK"/>
          <w:color w:val="auto"/>
          <w:sz w:val="32"/>
          <w:szCs w:val="32"/>
          <w:highlight w:val="none"/>
        </w:rPr>
        <w:t>在重庆股份转让中心</w:t>
      </w:r>
      <w:r>
        <w:rPr>
          <w:rFonts w:hint="eastAsia" w:ascii="方正仿宋_GBK" w:eastAsia="方正仿宋_GBK" w:cs="方正仿宋_GBK"/>
          <w:color w:val="auto"/>
          <w:sz w:val="32"/>
          <w:szCs w:val="32"/>
          <w:highlight w:val="none"/>
          <w:lang w:eastAsia="zh-CN"/>
        </w:rPr>
        <w:t>股改</w:t>
      </w:r>
      <w:r>
        <w:rPr>
          <w:rFonts w:hint="eastAsia" w:ascii="方正仿宋_GBK" w:eastAsia="方正仿宋_GBK" w:cs="方正仿宋_GBK"/>
          <w:color w:val="auto"/>
          <w:sz w:val="32"/>
          <w:szCs w:val="32"/>
          <w:highlight w:val="none"/>
        </w:rPr>
        <w:t>挂牌。</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（二）申报条件。</w:t>
      </w:r>
    </w:p>
    <w:p>
      <w:pPr>
        <w:spacing w:line="560" w:lineRule="exact"/>
        <w:ind w:firstLine="640" w:firstLineChars="200"/>
        <w:rPr>
          <w:rFonts w:ascii="方正仿宋_GBK" w:eastAsia="方正仿宋_GBK"/>
          <w:color w:val="auto"/>
          <w:sz w:val="32"/>
          <w:szCs w:val="32"/>
          <w:highlight w:val="none"/>
        </w:rPr>
      </w:pPr>
      <w:r>
        <w:rPr>
          <w:rFonts w:ascii="方正仿宋_GBK" w:eastAsia="方正仿宋_GBK" w:cs="方正仿宋_GBK"/>
          <w:color w:val="auto"/>
          <w:sz w:val="32"/>
          <w:szCs w:val="32"/>
          <w:highlight w:val="none"/>
        </w:rPr>
        <w:t>201</w:t>
      </w:r>
      <w:r>
        <w:rPr>
          <w:rFonts w:hint="eastAsia" w:ascii="方正仿宋_GBK" w:eastAsia="方正仿宋_GBK" w:cs="方正仿宋_GBK"/>
          <w:color w:val="auto"/>
          <w:sz w:val="32"/>
          <w:szCs w:val="32"/>
          <w:highlight w:val="none"/>
          <w:lang w:val="en-US" w:eastAsia="zh-CN"/>
        </w:rPr>
        <w:t>9</w:t>
      </w:r>
      <w:r>
        <w:rPr>
          <w:rFonts w:hint="eastAsia" w:ascii="方正仿宋_GBK" w:eastAsia="方正仿宋_GBK" w:cs="方正仿宋_GBK"/>
          <w:color w:val="auto"/>
          <w:sz w:val="32"/>
          <w:szCs w:val="32"/>
          <w:highlight w:val="none"/>
        </w:rPr>
        <w:t>年</w:t>
      </w:r>
      <w:r>
        <w:rPr>
          <w:rFonts w:ascii="方正仿宋_GBK" w:eastAsia="方正仿宋_GBK" w:cs="方正仿宋_GBK"/>
          <w:color w:val="auto"/>
          <w:sz w:val="32"/>
          <w:szCs w:val="32"/>
          <w:highlight w:val="none"/>
        </w:rPr>
        <w:t>7</w:t>
      </w:r>
      <w:r>
        <w:rPr>
          <w:rFonts w:hint="eastAsia" w:ascii="方正仿宋_GBK" w:eastAsia="方正仿宋_GBK" w:cs="方正仿宋_GBK"/>
          <w:color w:val="auto"/>
          <w:sz w:val="32"/>
          <w:szCs w:val="32"/>
          <w:highlight w:val="none"/>
        </w:rPr>
        <w:t>月</w:t>
      </w:r>
      <w:r>
        <w:rPr>
          <w:rFonts w:ascii="方正仿宋_GBK" w:eastAsia="方正仿宋_GBK" w:cs="方正仿宋_GBK"/>
          <w:color w:val="auto"/>
          <w:sz w:val="32"/>
          <w:szCs w:val="32"/>
          <w:highlight w:val="none"/>
        </w:rPr>
        <w:t>1</w:t>
      </w:r>
      <w:r>
        <w:rPr>
          <w:rFonts w:hint="eastAsia" w:ascii="方正仿宋_GBK" w:eastAsia="方正仿宋_GBK" w:cs="方正仿宋_GBK"/>
          <w:color w:val="auto"/>
          <w:sz w:val="32"/>
          <w:szCs w:val="32"/>
          <w:highlight w:val="none"/>
        </w:rPr>
        <w:t>日至</w:t>
      </w:r>
      <w:r>
        <w:rPr>
          <w:rFonts w:ascii="方正仿宋_GBK" w:eastAsia="方正仿宋_GBK" w:cs="方正仿宋_GBK"/>
          <w:color w:val="auto"/>
          <w:sz w:val="32"/>
          <w:szCs w:val="32"/>
          <w:highlight w:val="none"/>
        </w:rPr>
        <w:t>20</w:t>
      </w:r>
      <w:r>
        <w:rPr>
          <w:rFonts w:hint="eastAsia" w:ascii="方正仿宋_GBK" w:eastAsia="方正仿宋_GBK" w:cs="方正仿宋_GBK"/>
          <w:color w:val="auto"/>
          <w:sz w:val="32"/>
          <w:szCs w:val="32"/>
          <w:highlight w:val="none"/>
          <w:lang w:val="en-US" w:eastAsia="zh-CN"/>
        </w:rPr>
        <w:t>20</w:t>
      </w:r>
      <w:r>
        <w:rPr>
          <w:rFonts w:hint="eastAsia" w:ascii="方正仿宋_GBK" w:eastAsia="方正仿宋_GBK" w:cs="方正仿宋_GBK"/>
          <w:color w:val="auto"/>
          <w:sz w:val="32"/>
          <w:szCs w:val="32"/>
          <w:highlight w:val="none"/>
        </w:rPr>
        <w:t>年</w:t>
      </w:r>
      <w:r>
        <w:rPr>
          <w:rFonts w:hint="eastAsia" w:ascii="方正仿宋_GBK" w:eastAsia="方正仿宋_GBK" w:cs="方正仿宋_GBK"/>
          <w:color w:val="auto"/>
          <w:sz w:val="32"/>
          <w:szCs w:val="32"/>
          <w:highlight w:val="none"/>
          <w:lang w:val="en-US" w:eastAsia="zh-CN"/>
        </w:rPr>
        <w:t>3</w:t>
      </w:r>
      <w:r>
        <w:rPr>
          <w:rFonts w:hint="eastAsia" w:ascii="方正仿宋_GBK" w:eastAsia="方正仿宋_GBK" w:cs="方正仿宋_GBK"/>
          <w:color w:val="auto"/>
          <w:sz w:val="32"/>
          <w:szCs w:val="32"/>
          <w:highlight w:val="none"/>
        </w:rPr>
        <w:t>月</w:t>
      </w:r>
      <w:r>
        <w:rPr>
          <w:rFonts w:ascii="方正仿宋_GBK" w:eastAsia="方正仿宋_GBK" w:cs="方正仿宋_GBK"/>
          <w:color w:val="auto"/>
          <w:sz w:val="32"/>
          <w:szCs w:val="32"/>
          <w:highlight w:val="none"/>
        </w:rPr>
        <w:t>3</w:t>
      </w:r>
      <w:r>
        <w:rPr>
          <w:rFonts w:hint="eastAsia" w:ascii="方正仿宋_GBK" w:eastAsia="方正仿宋_GBK" w:cs="方正仿宋_GBK"/>
          <w:color w:val="auto"/>
          <w:sz w:val="32"/>
          <w:szCs w:val="32"/>
          <w:highlight w:val="none"/>
          <w:lang w:val="en-US" w:eastAsia="zh-CN"/>
        </w:rPr>
        <w:t>1</w:t>
      </w:r>
      <w:r>
        <w:rPr>
          <w:rFonts w:hint="eastAsia" w:ascii="方正仿宋_GBK" w:eastAsia="方正仿宋_GBK" w:cs="方正仿宋_GBK"/>
          <w:color w:val="auto"/>
          <w:sz w:val="32"/>
          <w:szCs w:val="32"/>
          <w:highlight w:val="none"/>
        </w:rPr>
        <w:t>日在重庆股份转让中心挂牌孵化板、成长板、中小企业板（专精特新板）的企业。</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（三）补助标准。</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val="en-US" w:eastAsia="zh-CN"/>
        </w:rPr>
        <w:t>1.</w:t>
      </w:r>
      <w:r>
        <w:rPr>
          <w:rFonts w:hint="eastAsia" w:ascii="方正仿宋_GBK" w:eastAsia="方正仿宋_GBK" w:cs="方正仿宋_GBK"/>
          <w:color w:val="auto"/>
          <w:sz w:val="32"/>
          <w:szCs w:val="32"/>
          <w:highlight w:val="none"/>
        </w:rPr>
        <w:t>挂牌奖励项目</w:t>
      </w:r>
      <w:r>
        <w:rPr>
          <w:rFonts w:hint="eastAsia" w:ascii="方正仿宋_GBK" w:eastAsia="方正仿宋_GBK" w:cs="方正仿宋_GBK"/>
          <w:color w:val="auto"/>
          <w:sz w:val="32"/>
          <w:szCs w:val="32"/>
          <w:highlight w:val="none"/>
          <w:lang w:eastAsia="zh-CN"/>
        </w:rPr>
        <w:t>。</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rPr>
        <w:t>在重庆股份转让中心挂牌孵化板、成长板、专精特新板的企业，分别给予</w:t>
      </w:r>
      <w:r>
        <w:rPr>
          <w:rFonts w:ascii="方正仿宋_GBK" w:eastAsia="方正仿宋_GBK" w:cs="方正仿宋_GBK"/>
          <w:color w:val="auto"/>
          <w:sz w:val="32"/>
          <w:szCs w:val="32"/>
          <w:highlight w:val="none"/>
        </w:rPr>
        <w:t>3</w:t>
      </w:r>
      <w:r>
        <w:rPr>
          <w:rFonts w:hint="eastAsia" w:ascii="方正仿宋_GBK" w:eastAsia="方正仿宋_GBK" w:cs="方正仿宋_GBK"/>
          <w:color w:val="auto"/>
          <w:sz w:val="32"/>
          <w:szCs w:val="32"/>
          <w:highlight w:val="none"/>
        </w:rPr>
        <w:t>万元、</w:t>
      </w:r>
      <w:r>
        <w:rPr>
          <w:rFonts w:ascii="方正仿宋_GBK" w:eastAsia="方正仿宋_GBK" w:cs="方正仿宋_GBK"/>
          <w:color w:val="auto"/>
          <w:sz w:val="32"/>
          <w:szCs w:val="32"/>
          <w:highlight w:val="none"/>
        </w:rPr>
        <w:t>25</w:t>
      </w:r>
      <w:r>
        <w:rPr>
          <w:rFonts w:hint="eastAsia" w:ascii="方正仿宋_GBK" w:eastAsia="方正仿宋_GBK" w:cs="方正仿宋_GBK"/>
          <w:color w:val="auto"/>
          <w:sz w:val="32"/>
          <w:szCs w:val="32"/>
          <w:highlight w:val="none"/>
        </w:rPr>
        <w:t>万元、</w:t>
      </w:r>
      <w:r>
        <w:rPr>
          <w:rFonts w:ascii="方正仿宋_GBK" w:eastAsia="方正仿宋_GBK" w:cs="方正仿宋_GBK"/>
          <w:color w:val="auto"/>
          <w:sz w:val="32"/>
          <w:szCs w:val="32"/>
          <w:highlight w:val="none"/>
        </w:rPr>
        <w:t>30</w:t>
      </w:r>
      <w:r>
        <w:rPr>
          <w:rFonts w:hint="eastAsia" w:ascii="方正仿宋_GBK" w:eastAsia="方正仿宋_GBK" w:cs="方正仿宋_GBK"/>
          <w:color w:val="auto"/>
          <w:sz w:val="32"/>
          <w:szCs w:val="32"/>
          <w:highlight w:val="none"/>
        </w:rPr>
        <w:t>万元的一次性奖励。企业挂牌日期以重庆股份转让中心挂牌备案确认函的落款日期为准。企业</w:t>
      </w:r>
      <w:r>
        <w:rPr>
          <w:rFonts w:hint="eastAsia" w:ascii="方正仿宋_GBK" w:eastAsia="方正仿宋_GBK" w:cs="方正仿宋_GBK"/>
          <w:color w:val="auto"/>
          <w:sz w:val="32"/>
          <w:szCs w:val="32"/>
          <w:highlight w:val="none"/>
          <w:lang w:eastAsia="zh-CN"/>
        </w:rPr>
        <w:t>已获得</w:t>
      </w:r>
      <w:r>
        <w:rPr>
          <w:rFonts w:hint="eastAsia" w:ascii="方正仿宋_GBK" w:eastAsia="方正仿宋_GBK" w:cs="方正仿宋_GBK"/>
          <w:color w:val="auto"/>
          <w:sz w:val="32"/>
          <w:szCs w:val="32"/>
          <w:highlight w:val="none"/>
        </w:rPr>
        <w:t>挂牌成长板</w:t>
      </w:r>
      <w:r>
        <w:rPr>
          <w:rFonts w:hint="eastAsia" w:ascii="方正仿宋_GBK" w:eastAsia="方正仿宋_GBK" w:cs="方正仿宋_GBK"/>
          <w:color w:val="auto"/>
          <w:sz w:val="32"/>
          <w:szCs w:val="32"/>
          <w:highlight w:val="none"/>
          <w:lang w:eastAsia="zh-CN"/>
        </w:rPr>
        <w:t>奖励，</w:t>
      </w:r>
      <w:r>
        <w:rPr>
          <w:rFonts w:hint="eastAsia" w:ascii="方正仿宋_GBK" w:eastAsia="方正仿宋_GBK" w:cs="方正仿宋_GBK"/>
          <w:color w:val="auto"/>
          <w:sz w:val="32"/>
          <w:szCs w:val="32"/>
          <w:highlight w:val="none"/>
        </w:rPr>
        <w:t>后转板专精特新板的，补奖励差价</w:t>
      </w:r>
      <w:r>
        <w:rPr>
          <w:rFonts w:ascii="方正仿宋_GBK" w:eastAsia="方正仿宋_GBK" w:cs="方正仿宋_GBK"/>
          <w:color w:val="auto"/>
          <w:sz w:val="32"/>
          <w:szCs w:val="32"/>
          <w:highlight w:val="none"/>
        </w:rPr>
        <w:t>5</w:t>
      </w:r>
      <w:r>
        <w:rPr>
          <w:rFonts w:hint="eastAsia" w:ascii="方正仿宋_GBK" w:eastAsia="方正仿宋_GBK" w:cs="方正仿宋_GBK"/>
          <w:color w:val="auto"/>
          <w:sz w:val="32"/>
          <w:szCs w:val="32"/>
          <w:highlight w:val="none"/>
        </w:rPr>
        <w:t>万元。</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val="en-US" w:eastAsia="zh-CN"/>
        </w:rPr>
        <w:t>2.</w:t>
      </w:r>
      <w:r>
        <w:rPr>
          <w:rFonts w:hint="eastAsia" w:ascii="方正仿宋_GBK" w:eastAsia="方正仿宋_GBK" w:cs="方正仿宋_GBK"/>
          <w:color w:val="auto"/>
          <w:sz w:val="32"/>
          <w:szCs w:val="32"/>
          <w:highlight w:val="none"/>
        </w:rPr>
        <w:t>股改奖励项目</w:t>
      </w:r>
      <w:r>
        <w:rPr>
          <w:rFonts w:hint="eastAsia" w:ascii="方正仿宋_GBK" w:eastAsia="方正仿宋_GBK" w:cs="方正仿宋_GBK"/>
          <w:color w:val="auto"/>
          <w:sz w:val="32"/>
          <w:szCs w:val="32"/>
          <w:highlight w:val="none"/>
          <w:lang w:eastAsia="zh-CN"/>
        </w:rPr>
        <w:t>。</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rPr>
        <w:t>挂牌成长板、专精特新板的企业在挂牌前一年之内完成股份制改造的，给予企业</w:t>
      </w:r>
      <w:r>
        <w:rPr>
          <w:rFonts w:ascii="方正仿宋_GBK" w:eastAsia="方正仿宋_GBK" w:cs="方正仿宋_GBK"/>
          <w:color w:val="auto"/>
          <w:sz w:val="32"/>
          <w:szCs w:val="32"/>
          <w:highlight w:val="none"/>
        </w:rPr>
        <w:t>20</w:t>
      </w:r>
      <w:r>
        <w:rPr>
          <w:rFonts w:hint="eastAsia" w:ascii="方正仿宋_GBK" w:eastAsia="方正仿宋_GBK" w:cs="方正仿宋_GBK"/>
          <w:color w:val="auto"/>
          <w:sz w:val="32"/>
          <w:szCs w:val="32"/>
          <w:highlight w:val="none"/>
        </w:rPr>
        <w:t>万元的一次性奖励。企业完成股改日期以股份有限公司营业执照的登记机关落款日期为准。</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（四）联系人及联系电话。</w:t>
      </w:r>
    </w:p>
    <w:p>
      <w:pPr>
        <w:spacing w:line="560" w:lineRule="exact"/>
        <w:ind w:firstLine="640" w:firstLineChars="200"/>
        <w:rPr>
          <w:rFonts w:hint="default" w:ascii="方正仿宋_GBK" w:hAnsi="方正仿宋_GBK" w:eastAsia="方正仿宋_GBK"/>
          <w:color w:val="auto"/>
          <w:sz w:val="32"/>
          <w:szCs w:val="32"/>
          <w:highlight w:val="none"/>
          <w:lang w:val="en-US" w:eastAsia="zh-CN"/>
        </w:rPr>
      </w:pPr>
      <w:r>
        <w:rPr>
          <w:rFonts w:hint="eastAsia" w:ascii="方正仿宋_GBK" w:eastAsia="方正仿宋_GBK" w:cs="方正仿宋_GBK"/>
          <w:color w:val="auto"/>
          <w:sz w:val="32"/>
          <w:szCs w:val="32"/>
          <w:highlight w:val="none"/>
        </w:rPr>
        <w:t>融资服务处</w:t>
      </w:r>
      <w:r>
        <w:rPr>
          <w:rFonts w:hint="eastAsia" w:ascii="方正仿宋_GBK" w:eastAsia="方正仿宋_GBK" w:cs="方正仿宋_GBK"/>
          <w:color w:val="auto"/>
          <w:sz w:val="32"/>
          <w:szCs w:val="32"/>
          <w:highlight w:val="none"/>
          <w:lang w:val="en-US" w:eastAsia="zh-CN"/>
        </w:rPr>
        <w:t>:</w:t>
      </w:r>
      <w:r>
        <w:rPr>
          <w:rFonts w:hint="eastAsia" w:ascii="方正仿宋_GBK" w:eastAsia="方正仿宋_GBK" w:cs="方正仿宋_GBK"/>
          <w:color w:val="auto"/>
          <w:sz w:val="32"/>
          <w:szCs w:val="32"/>
          <w:highlight w:val="none"/>
        </w:rPr>
        <w:t>蒋伦</w:t>
      </w:r>
      <w:r>
        <w:rPr>
          <w:rFonts w:hint="eastAsia" w:ascii="方正仿宋_GBK" w:eastAsia="方正仿宋_GBK" w:cs="方正仿宋_GBK"/>
          <w:color w:val="auto"/>
          <w:sz w:val="32"/>
          <w:szCs w:val="32"/>
          <w:highlight w:val="none"/>
          <w:lang w:val="en-US" w:eastAsia="zh-CN"/>
        </w:rPr>
        <w:t>，</w:t>
      </w:r>
      <w:r>
        <w:rPr>
          <w:rFonts w:ascii="方正仿宋_GBK" w:eastAsia="方正仿宋_GBK" w:cs="方正仿宋_GBK"/>
          <w:color w:val="auto"/>
          <w:sz w:val="32"/>
          <w:szCs w:val="32"/>
          <w:highlight w:val="none"/>
        </w:rPr>
        <w:t>6389</w:t>
      </w:r>
      <w:r>
        <w:rPr>
          <w:rFonts w:hint="eastAsia" w:ascii="方正仿宋_GBK" w:eastAsia="方正仿宋_GBK" w:cs="方正仿宋_GBK"/>
          <w:color w:val="auto"/>
          <w:sz w:val="32"/>
          <w:szCs w:val="32"/>
          <w:highlight w:val="none"/>
          <w:lang w:val="en-US" w:eastAsia="zh-CN"/>
        </w:rPr>
        <w:t>5400。</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（五）申报材料。</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eastAsia="方正仿宋_GBK" w:cs="Times New Roman"/>
          <w:b w:val="0"/>
          <w:bCs w:val="0"/>
          <w:color w:val="auto"/>
          <w:sz w:val="32"/>
          <w:szCs w:val="32"/>
          <w:lang w:val="en-US" w:eastAsia="zh-CN"/>
        </w:rPr>
        <w:t>详见附件十。</w:t>
      </w:r>
    </w:p>
    <w:p>
      <w:pPr>
        <w:jc w:val="left"/>
        <w:rPr>
          <w:rFonts w:hint="eastAsia"/>
          <w:color w:val="FF0000"/>
          <w:sz w:val="28"/>
          <w:szCs w:val="32"/>
        </w:rPr>
      </w:pPr>
    </w:p>
    <w:p>
      <w:pPr>
        <w:jc w:val="left"/>
        <w:rPr>
          <w:rFonts w:hint="eastAsia"/>
          <w:color w:val="FF0000"/>
          <w:sz w:val="28"/>
          <w:szCs w:val="32"/>
        </w:rPr>
      </w:pPr>
    </w:p>
    <w:p>
      <w:pPr>
        <w:jc w:val="left"/>
        <w:rPr>
          <w:rFonts w:hint="eastAsia"/>
          <w:color w:val="FF0000"/>
          <w:sz w:val="28"/>
          <w:szCs w:val="32"/>
        </w:rPr>
      </w:pPr>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8"/>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9"/>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center"/>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bookmarkStart w:id="0" w:name="_GoBack"/>
      <w:bookmarkEnd w:id="0"/>
      <w:r>
        <w:rPr>
          <w:rFonts w:hint="eastAsia" w:ascii="方正黑体_GBK" w:hAnsi="方正黑体_GBK" w:eastAsia="方正黑体_GBK" w:cs="方正黑体_GBK"/>
          <w:color w:val="auto"/>
          <w:kern w:val="0"/>
          <w:sz w:val="32"/>
          <w:szCs w:val="32"/>
          <w:lang w:eastAsia="zh-CN"/>
        </w:rPr>
        <w:t>附件</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atLeast"/>
        <w:ind w:right="0" w:rightChars="0" w:firstLine="640" w:firstLineChars="200"/>
        <w:jc w:val="both"/>
        <w:textAlignment w:val="auto"/>
        <w:outlineLvl w:val="0"/>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color w:val="auto"/>
          <w:sz w:val="32"/>
          <w:szCs w:val="32"/>
          <w:lang w:eastAsia="zh-CN"/>
        </w:rPr>
        <w:t>十、</w:t>
      </w:r>
      <w:r>
        <w:rPr>
          <w:rFonts w:hint="eastAsia" w:ascii="方正黑体_GBK" w:hAnsi="方正黑体_GBK" w:eastAsia="方正黑体_GBK" w:cs="方正黑体_GBK"/>
          <w:b w:val="0"/>
          <w:bCs w:val="0"/>
          <w:color w:val="auto"/>
          <w:sz w:val="32"/>
          <w:szCs w:val="32"/>
          <w:lang w:eastAsia="zh-CN"/>
        </w:rPr>
        <w:t>中小微企业股改挂牌奖励申报材料</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eastAsia="zh-CN"/>
        </w:rPr>
        <w:t>（一）</w:t>
      </w:r>
      <w:r>
        <w:rPr>
          <w:rFonts w:hint="eastAsia" w:ascii="方正仿宋_GBK" w:eastAsia="方正仿宋_GBK" w:cs="方正仿宋_GBK"/>
          <w:color w:val="auto"/>
          <w:sz w:val="32"/>
          <w:szCs w:val="32"/>
          <w:highlight w:val="none"/>
        </w:rPr>
        <w:t>重庆市中小微企业挂牌奖励申报表（附件）；</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eastAsia="zh-CN"/>
        </w:rPr>
        <w:t>（二）</w:t>
      </w:r>
      <w:r>
        <w:rPr>
          <w:rFonts w:hint="eastAsia" w:ascii="方正仿宋_GBK" w:eastAsia="方正仿宋_GBK" w:cs="方正仿宋_GBK"/>
          <w:color w:val="auto"/>
          <w:sz w:val="32"/>
          <w:szCs w:val="32"/>
          <w:highlight w:val="none"/>
        </w:rPr>
        <w:t>营业执照复印件（加盖企业鲜章）；</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eastAsia="zh-CN"/>
        </w:rPr>
        <w:t>（三）</w:t>
      </w:r>
      <w:r>
        <w:rPr>
          <w:rFonts w:hint="eastAsia" w:ascii="方正仿宋_GBK" w:eastAsia="方正仿宋_GBK" w:cs="方正仿宋_GBK"/>
          <w:color w:val="auto"/>
          <w:sz w:val="32"/>
          <w:szCs w:val="32"/>
          <w:highlight w:val="none"/>
        </w:rPr>
        <w:t>重庆股份转让中心出具的挂牌备案确认函复印件（加盖企业鲜章）；</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eastAsia="zh-CN"/>
        </w:rPr>
        <w:t>（四）</w:t>
      </w:r>
      <w:r>
        <w:rPr>
          <w:rFonts w:hint="eastAsia" w:ascii="方正仿宋_GBK" w:eastAsia="方正仿宋_GBK" w:cs="方正仿宋_GBK"/>
          <w:color w:val="auto"/>
          <w:sz w:val="32"/>
          <w:szCs w:val="32"/>
          <w:highlight w:val="none"/>
        </w:rPr>
        <w:t>如企业符合股改奖励条件，还需提供以下资料复印件（加盖企业鲜章）；</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val="en-US" w:eastAsia="zh-CN"/>
        </w:rPr>
        <w:t>1.</w:t>
      </w:r>
      <w:r>
        <w:rPr>
          <w:rFonts w:hint="eastAsia" w:ascii="方正仿宋_GBK" w:eastAsia="方正仿宋_GBK" w:cs="方正仿宋_GBK"/>
          <w:color w:val="auto"/>
          <w:sz w:val="32"/>
          <w:szCs w:val="32"/>
          <w:highlight w:val="none"/>
        </w:rPr>
        <w:t>变更前的有限责任公司营业执照；</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val="en-US" w:eastAsia="zh-CN"/>
        </w:rPr>
        <w:t>2.</w:t>
      </w:r>
      <w:r>
        <w:rPr>
          <w:rFonts w:hint="eastAsia" w:ascii="方正仿宋_GBK" w:eastAsia="方正仿宋_GBK" w:cs="方正仿宋_GBK"/>
          <w:color w:val="auto"/>
          <w:sz w:val="32"/>
          <w:szCs w:val="32"/>
          <w:highlight w:val="none"/>
        </w:rPr>
        <w:t>企业名称核准变更登记通知书；</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val="en-US" w:eastAsia="zh-CN"/>
        </w:rPr>
        <w:t>3.</w:t>
      </w:r>
      <w:r>
        <w:rPr>
          <w:rFonts w:hint="eastAsia" w:ascii="方正仿宋_GBK" w:eastAsia="方正仿宋_GBK" w:cs="方正仿宋_GBK"/>
          <w:color w:val="auto"/>
          <w:sz w:val="32"/>
          <w:szCs w:val="32"/>
          <w:highlight w:val="none"/>
        </w:rPr>
        <w:t>股份有限公司营业执照；</w:t>
      </w: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val="en-US" w:eastAsia="zh-CN"/>
        </w:rPr>
        <w:t>4.</w:t>
      </w:r>
      <w:r>
        <w:rPr>
          <w:rFonts w:hint="eastAsia" w:ascii="方正仿宋_GBK" w:eastAsia="方正仿宋_GBK" w:cs="方正仿宋_GBK"/>
          <w:color w:val="auto"/>
          <w:sz w:val="32"/>
          <w:szCs w:val="32"/>
          <w:highlight w:val="none"/>
        </w:rPr>
        <w:t>律师事务所出具的企业股改专项法律意见书及付费发票；</w:t>
      </w:r>
    </w:p>
    <w:p>
      <w:pPr>
        <w:spacing w:line="560" w:lineRule="exact"/>
        <w:ind w:left="958" w:leftChars="304" w:hanging="320" w:hangingChars="1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lang w:val="en-US" w:eastAsia="zh-CN"/>
        </w:rPr>
        <w:t>5.</w:t>
      </w:r>
      <w:r>
        <w:rPr>
          <w:rFonts w:hint="eastAsia" w:ascii="方正仿宋_GBK" w:eastAsia="方正仿宋_GBK" w:cs="方正仿宋_GBK"/>
          <w:color w:val="auto"/>
          <w:sz w:val="32"/>
          <w:szCs w:val="32"/>
          <w:highlight w:val="none"/>
        </w:rPr>
        <w:t>会计师事务所出具的股改审计报告及付费发票；</w:t>
      </w:r>
    </w:p>
    <w:p>
      <w:pPr>
        <w:spacing w:line="560" w:lineRule="exact"/>
        <w:ind w:left="958" w:leftChars="304" w:hanging="320" w:hangingChars="100"/>
        <w:rPr>
          <w:rFonts w:hint="eastAsia" w:ascii="方正仿宋_GBK" w:eastAsia="方正仿宋_GBK" w:cs="方正仿宋_GBK"/>
          <w:color w:val="auto"/>
          <w:sz w:val="32"/>
          <w:szCs w:val="32"/>
          <w:highlight w:val="none"/>
        </w:rPr>
      </w:pPr>
      <w:r>
        <w:rPr>
          <w:rFonts w:hint="eastAsia" w:ascii="方正仿宋_GBK" w:eastAsia="方正仿宋_GBK" w:cs="方正仿宋_GBK"/>
          <w:color w:val="auto"/>
          <w:sz w:val="32"/>
          <w:szCs w:val="32"/>
          <w:highlight w:val="none"/>
          <w:lang w:val="en-US" w:eastAsia="zh-CN"/>
        </w:rPr>
        <w:t>6.</w:t>
      </w:r>
      <w:r>
        <w:rPr>
          <w:rFonts w:hint="eastAsia" w:ascii="方正仿宋_GBK" w:eastAsia="方正仿宋_GBK" w:cs="方正仿宋_GBK"/>
          <w:color w:val="auto"/>
          <w:sz w:val="32"/>
          <w:szCs w:val="32"/>
          <w:highlight w:val="none"/>
        </w:rPr>
        <w:t>评估师事务所出具的股改评估报告及付费发票。</w:t>
      </w:r>
    </w:p>
    <w:p>
      <w:pPr>
        <w:spacing w:line="560" w:lineRule="exact"/>
        <w:ind w:firstLine="640" w:firstLineChars="200"/>
        <w:rPr>
          <w:rFonts w:hint="eastAsia" w:ascii="方正仿宋_GBK" w:eastAsia="方正仿宋_GBK" w:cs="方正仿宋_GBK"/>
          <w:color w:val="auto"/>
          <w:sz w:val="32"/>
          <w:szCs w:val="32"/>
          <w:highlight w:val="none"/>
        </w:rPr>
      </w:pPr>
    </w:p>
    <w:p>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s="方正仿宋_GBK"/>
          <w:color w:val="auto"/>
          <w:sz w:val="32"/>
          <w:szCs w:val="32"/>
          <w:highlight w:val="none"/>
        </w:rPr>
        <w:t>附件：重庆市中小微企业挂牌奖励申报表</w:t>
      </w:r>
    </w:p>
    <w:p>
      <w:pPr>
        <w:widowControl/>
        <w:jc w:val="left"/>
        <w:rPr>
          <w:rFonts w:ascii="方正小标宋_GBK" w:hAnsi="方正小标宋_GBK" w:eastAsia="方正小标宋_GBK"/>
          <w:color w:val="auto"/>
          <w:sz w:val="44"/>
          <w:szCs w:val="44"/>
          <w:highlight w:val="none"/>
        </w:rPr>
        <w:sectPr>
          <w:headerReference r:id="rId3" w:type="default"/>
          <w:footerReference r:id="rId4" w:type="default"/>
          <w:pgSz w:w="11906" w:h="16838"/>
          <w:pgMar w:top="2098" w:right="1474" w:bottom="1985" w:left="1588" w:header="851" w:footer="1588" w:gutter="0"/>
          <w:pgNumType w:fmt="numberInDash"/>
          <w:cols w:space="720" w:num="1"/>
          <w:docGrid w:type="lines" w:linePitch="312" w:charSpace="0"/>
        </w:sectPr>
      </w:pPr>
    </w:p>
    <w:p>
      <w:pPr>
        <w:widowControl/>
        <w:jc w:val="left"/>
        <w:rPr>
          <w:rFonts w:ascii="方正黑体_GBK" w:hAnsi="方正仿宋_GBK" w:eastAsia="方正黑体_GBK"/>
          <w:color w:val="auto"/>
          <w:sz w:val="32"/>
          <w:szCs w:val="32"/>
          <w:highlight w:val="none"/>
        </w:rPr>
      </w:pPr>
      <w:r>
        <w:rPr>
          <w:rFonts w:hint="eastAsia" w:ascii="方正黑体_GBK" w:hAnsi="方正仿宋_GBK" w:eastAsia="方正黑体_GBK" w:cs="方正黑体_GBK"/>
          <w:color w:val="auto"/>
          <w:sz w:val="32"/>
          <w:szCs w:val="32"/>
          <w:highlight w:val="none"/>
        </w:rPr>
        <w:t>附件</w:t>
      </w:r>
    </w:p>
    <w:p>
      <w:pPr>
        <w:spacing w:line="640" w:lineRule="exact"/>
        <w:jc w:val="center"/>
        <w:rPr>
          <w:rFonts w:ascii="方正小标宋_GBK" w:hAnsi="仿宋" w:eastAsia="方正小标宋_GBK"/>
          <w:color w:val="auto"/>
          <w:kern w:val="0"/>
          <w:sz w:val="32"/>
          <w:szCs w:val="32"/>
          <w:highlight w:val="none"/>
        </w:rPr>
      </w:pPr>
      <w:r>
        <w:rPr>
          <w:rFonts w:hint="eastAsia" w:ascii="方正小标宋_GBK" w:hAnsi="仿宋" w:eastAsia="方正小标宋_GBK" w:cs="方正小标宋_GBK"/>
          <w:color w:val="auto"/>
          <w:kern w:val="0"/>
          <w:sz w:val="32"/>
          <w:szCs w:val="32"/>
          <w:highlight w:val="none"/>
        </w:rPr>
        <w:t>重庆市中小微企业股改挂牌奖励申报表</w:t>
      </w:r>
    </w:p>
    <w:tbl>
      <w:tblPr>
        <w:tblStyle w:val="5"/>
        <w:tblW w:w="9480" w:type="dxa"/>
        <w:tblInd w:w="2" w:type="dxa"/>
        <w:tblLayout w:type="fixed"/>
        <w:tblCellMar>
          <w:top w:w="0" w:type="dxa"/>
          <w:left w:w="108" w:type="dxa"/>
          <w:bottom w:w="0" w:type="dxa"/>
          <w:right w:w="108" w:type="dxa"/>
        </w:tblCellMar>
      </w:tblPr>
      <w:tblGrid>
        <w:gridCol w:w="1433"/>
        <w:gridCol w:w="1559"/>
        <w:gridCol w:w="1559"/>
        <w:gridCol w:w="1418"/>
        <w:gridCol w:w="1701"/>
        <w:gridCol w:w="1810"/>
      </w:tblGrid>
      <w:tr>
        <w:tblPrEx>
          <w:tblLayout w:type="fixed"/>
          <w:tblCellMar>
            <w:top w:w="0" w:type="dxa"/>
            <w:left w:w="108" w:type="dxa"/>
            <w:bottom w:w="0" w:type="dxa"/>
            <w:right w:w="108" w:type="dxa"/>
          </w:tblCellMar>
        </w:tblPrEx>
        <w:trPr>
          <w:trHeight w:val="737" w:hRule="exact"/>
        </w:trPr>
        <w:tc>
          <w:tcPr>
            <w:tcW w:w="1433" w:type="dxa"/>
            <w:tcBorders>
              <w:top w:val="single" w:color="auto" w:sz="4" w:space="0"/>
              <w:left w:val="single" w:color="auto" w:sz="4" w:space="0"/>
              <w:bottom w:val="single" w:color="auto" w:sz="4" w:space="0"/>
              <w:right w:val="single" w:color="auto"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企业名称（盖章）</w:t>
            </w:r>
          </w:p>
        </w:tc>
        <w:tc>
          <w:tcPr>
            <w:tcW w:w="3118" w:type="dxa"/>
            <w:gridSpan w:val="2"/>
            <w:tcBorders>
              <w:top w:val="single" w:color="auto" w:sz="4" w:space="0"/>
              <w:left w:val="nil"/>
              <w:bottom w:val="single" w:color="auto" w:sz="4" w:space="0"/>
              <w:right w:val="single" w:color="000000" w:sz="4" w:space="0"/>
            </w:tcBorders>
            <w:vAlign w:val="center"/>
          </w:tcPr>
          <w:p>
            <w:pPr>
              <w:widowControl/>
              <w:spacing w:line="260" w:lineRule="exact"/>
              <w:rPr>
                <w:rFonts w:ascii="宋体" w:cs="宋体"/>
                <w:color w:val="auto"/>
                <w:kern w:val="0"/>
                <w:sz w:val="24"/>
                <w:szCs w:val="24"/>
                <w:highlight w:val="none"/>
              </w:rPr>
            </w:pPr>
          </w:p>
        </w:tc>
        <w:tc>
          <w:tcPr>
            <w:tcW w:w="1418" w:type="dxa"/>
            <w:tcBorders>
              <w:top w:val="single" w:color="auto" w:sz="4" w:space="0"/>
              <w:left w:val="nil"/>
              <w:bottom w:val="nil"/>
              <w:right w:val="nil"/>
            </w:tcBorders>
            <w:vAlign w:val="center"/>
          </w:tcPr>
          <w:p>
            <w:pPr>
              <w:widowControl/>
              <w:spacing w:line="24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统一社会信用代码</w:t>
            </w:r>
          </w:p>
        </w:tc>
        <w:tc>
          <w:tcPr>
            <w:tcW w:w="3511" w:type="dxa"/>
            <w:gridSpan w:val="2"/>
            <w:tcBorders>
              <w:top w:val="single" w:color="auto" w:sz="4" w:space="0"/>
              <w:left w:val="single" w:color="auto" w:sz="4" w:space="0"/>
              <w:bottom w:val="single" w:color="auto" w:sz="4" w:space="0"/>
              <w:right w:val="single" w:color="000000" w:sz="4" w:space="0"/>
            </w:tcBorders>
            <w:vAlign w:val="center"/>
          </w:tcPr>
          <w:p>
            <w:pPr>
              <w:widowControl/>
              <w:spacing w:line="240" w:lineRule="exact"/>
              <w:rPr>
                <w:rFonts w:ascii="宋体" w:cs="宋体"/>
                <w:color w:val="auto"/>
                <w:kern w:val="0"/>
                <w:sz w:val="24"/>
                <w:szCs w:val="24"/>
                <w:highlight w:val="none"/>
              </w:rPr>
            </w:pPr>
          </w:p>
        </w:tc>
      </w:tr>
      <w:tr>
        <w:tblPrEx>
          <w:tblLayout w:type="fixed"/>
          <w:tblCellMar>
            <w:top w:w="0" w:type="dxa"/>
            <w:left w:w="108" w:type="dxa"/>
            <w:bottom w:w="0" w:type="dxa"/>
            <w:right w:w="108" w:type="dxa"/>
          </w:tblCellMar>
        </w:tblPrEx>
        <w:trPr>
          <w:trHeight w:val="637" w:hRule="exact"/>
        </w:trPr>
        <w:tc>
          <w:tcPr>
            <w:tcW w:w="1433" w:type="dxa"/>
            <w:tcBorders>
              <w:top w:val="single" w:color="auto" w:sz="4" w:space="0"/>
              <w:left w:val="single" w:color="auto" w:sz="4" w:space="0"/>
              <w:bottom w:val="single" w:color="auto" w:sz="4" w:space="0"/>
              <w:right w:val="single" w:color="auto"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成立时间</w:t>
            </w:r>
          </w:p>
        </w:tc>
        <w:tc>
          <w:tcPr>
            <w:tcW w:w="3118" w:type="dxa"/>
            <w:gridSpan w:val="2"/>
            <w:tcBorders>
              <w:top w:val="single" w:color="auto" w:sz="4" w:space="0"/>
              <w:left w:val="nil"/>
              <w:bottom w:val="single" w:color="auto" w:sz="4" w:space="0"/>
              <w:right w:val="single" w:color="000000"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　</w:t>
            </w:r>
          </w:p>
        </w:tc>
        <w:tc>
          <w:tcPr>
            <w:tcW w:w="1418" w:type="dxa"/>
            <w:tcBorders>
              <w:top w:val="single" w:color="auto" w:sz="4" w:space="0"/>
              <w:left w:val="nil"/>
              <w:bottom w:val="nil"/>
              <w:right w:val="nil"/>
            </w:tcBorders>
            <w:vAlign w:val="center"/>
          </w:tcPr>
          <w:p>
            <w:pPr>
              <w:widowControl/>
              <w:spacing w:line="24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注册地址</w:t>
            </w:r>
          </w:p>
        </w:tc>
        <w:tc>
          <w:tcPr>
            <w:tcW w:w="3511" w:type="dxa"/>
            <w:gridSpan w:val="2"/>
            <w:tcBorders>
              <w:top w:val="single" w:color="auto" w:sz="4" w:space="0"/>
              <w:left w:val="single" w:color="auto" w:sz="4" w:space="0"/>
              <w:bottom w:val="single" w:color="auto" w:sz="4" w:space="0"/>
              <w:right w:val="single" w:color="000000" w:sz="4" w:space="0"/>
            </w:tcBorders>
            <w:vAlign w:val="center"/>
          </w:tcPr>
          <w:p>
            <w:pPr>
              <w:widowControl/>
              <w:spacing w:line="24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　</w:t>
            </w:r>
          </w:p>
        </w:tc>
      </w:tr>
      <w:tr>
        <w:tblPrEx>
          <w:tblLayout w:type="fixed"/>
          <w:tblCellMar>
            <w:top w:w="0" w:type="dxa"/>
            <w:left w:w="108" w:type="dxa"/>
            <w:bottom w:w="0" w:type="dxa"/>
            <w:right w:w="108" w:type="dxa"/>
          </w:tblCellMar>
        </w:tblPrEx>
        <w:trPr>
          <w:trHeight w:val="637" w:hRule="exact"/>
        </w:trPr>
        <w:tc>
          <w:tcPr>
            <w:tcW w:w="1433" w:type="dxa"/>
            <w:tcBorders>
              <w:top w:val="nil"/>
              <w:left w:val="single" w:color="auto" w:sz="4" w:space="0"/>
              <w:bottom w:val="single" w:color="auto" w:sz="4" w:space="0"/>
              <w:right w:val="single" w:color="auto"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注册资本</w:t>
            </w:r>
          </w:p>
        </w:tc>
        <w:tc>
          <w:tcPr>
            <w:tcW w:w="3118" w:type="dxa"/>
            <w:gridSpan w:val="2"/>
            <w:tcBorders>
              <w:top w:val="single" w:color="auto" w:sz="4" w:space="0"/>
              <w:left w:val="nil"/>
              <w:bottom w:val="single" w:color="auto" w:sz="4" w:space="0"/>
              <w:right w:val="single" w:color="000000"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　</w:t>
            </w:r>
          </w:p>
        </w:tc>
        <w:tc>
          <w:tcPr>
            <w:tcW w:w="1418" w:type="dxa"/>
            <w:tcBorders>
              <w:top w:val="single" w:color="auto" w:sz="4" w:space="0"/>
              <w:left w:val="nil"/>
              <w:bottom w:val="single" w:color="auto" w:sz="4" w:space="0"/>
              <w:right w:val="single" w:color="auto" w:sz="4" w:space="0"/>
            </w:tcBorders>
            <w:vAlign w:val="center"/>
          </w:tcPr>
          <w:p>
            <w:pPr>
              <w:widowControl/>
              <w:spacing w:line="24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法定代表人及联系电话</w:t>
            </w:r>
          </w:p>
        </w:tc>
        <w:tc>
          <w:tcPr>
            <w:tcW w:w="3511" w:type="dxa"/>
            <w:gridSpan w:val="2"/>
            <w:tcBorders>
              <w:top w:val="single" w:color="auto" w:sz="4" w:space="0"/>
              <w:left w:val="nil"/>
              <w:bottom w:val="single" w:color="auto" w:sz="4" w:space="0"/>
              <w:right w:val="single" w:color="000000" w:sz="4" w:space="0"/>
            </w:tcBorders>
            <w:vAlign w:val="center"/>
          </w:tcPr>
          <w:p>
            <w:pPr>
              <w:widowControl/>
              <w:spacing w:line="24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　</w:t>
            </w:r>
          </w:p>
        </w:tc>
      </w:tr>
      <w:tr>
        <w:tblPrEx>
          <w:tblLayout w:type="fixed"/>
          <w:tblCellMar>
            <w:top w:w="0" w:type="dxa"/>
            <w:left w:w="108" w:type="dxa"/>
            <w:bottom w:w="0" w:type="dxa"/>
            <w:right w:w="108" w:type="dxa"/>
          </w:tblCellMar>
        </w:tblPrEx>
        <w:trPr>
          <w:trHeight w:val="577" w:hRule="exact"/>
        </w:trPr>
        <w:tc>
          <w:tcPr>
            <w:tcW w:w="1433" w:type="dxa"/>
            <w:tcBorders>
              <w:top w:val="nil"/>
              <w:left w:val="single" w:color="auto" w:sz="4" w:space="0"/>
              <w:bottom w:val="single" w:color="auto" w:sz="4" w:space="0"/>
              <w:right w:val="single" w:color="auto" w:sz="4" w:space="0"/>
            </w:tcBorders>
            <w:vAlign w:val="center"/>
          </w:tcPr>
          <w:p>
            <w:pPr>
              <w:widowControl/>
              <w:spacing w:line="260" w:lineRule="exact"/>
              <w:jc w:val="center"/>
              <w:rPr>
                <w:rFonts w:ascii="宋体" w:cs="宋体"/>
                <w:color w:val="auto"/>
                <w:kern w:val="0"/>
                <w:sz w:val="24"/>
                <w:szCs w:val="24"/>
                <w:highlight w:val="none"/>
              </w:rPr>
            </w:pPr>
            <w:r>
              <w:rPr>
                <w:rFonts w:hint="eastAsia" w:ascii="宋体" w:hAnsi="宋体" w:cs="宋体"/>
                <w:color w:val="auto"/>
                <w:kern w:val="0"/>
                <w:sz w:val="24"/>
                <w:szCs w:val="24"/>
                <w:highlight w:val="none"/>
              </w:rPr>
              <w:t>主营业务</w:t>
            </w:r>
          </w:p>
          <w:p>
            <w:pPr>
              <w:widowControl/>
              <w:spacing w:line="260" w:lineRule="exact"/>
              <w:jc w:val="center"/>
              <w:rPr>
                <w:rFonts w:ascii="宋体" w:cs="宋体"/>
                <w:color w:val="auto"/>
                <w:kern w:val="0"/>
                <w:sz w:val="24"/>
                <w:szCs w:val="24"/>
                <w:highlight w:val="none"/>
              </w:rPr>
            </w:pPr>
            <w:r>
              <w:rPr>
                <w:rFonts w:hint="eastAsia" w:ascii="宋体" w:hAnsi="宋体" w:cs="宋体"/>
                <w:color w:val="auto"/>
                <w:kern w:val="0"/>
                <w:sz w:val="24"/>
                <w:szCs w:val="24"/>
                <w:highlight w:val="none"/>
              </w:rPr>
              <w:t>活动</w:t>
            </w:r>
          </w:p>
        </w:tc>
        <w:tc>
          <w:tcPr>
            <w:tcW w:w="3118" w:type="dxa"/>
            <w:gridSpan w:val="2"/>
            <w:tcBorders>
              <w:top w:val="single" w:color="auto" w:sz="4" w:space="0"/>
              <w:left w:val="nil"/>
              <w:bottom w:val="single" w:color="auto" w:sz="4" w:space="0"/>
              <w:right w:val="single" w:color="000000"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　</w:t>
            </w:r>
          </w:p>
        </w:tc>
        <w:tc>
          <w:tcPr>
            <w:tcW w:w="1418" w:type="dxa"/>
            <w:tcBorders>
              <w:top w:val="single" w:color="auto" w:sz="4" w:space="0"/>
              <w:left w:val="nil"/>
              <w:bottom w:val="single" w:color="auto" w:sz="4" w:space="0"/>
              <w:right w:val="single" w:color="auto" w:sz="4" w:space="0"/>
            </w:tcBorders>
            <w:vAlign w:val="center"/>
          </w:tcPr>
          <w:p>
            <w:pPr>
              <w:widowControl/>
              <w:spacing w:line="24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所属行业</w:t>
            </w:r>
          </w:p>
        </w:tc>
        <w:tc>
          <w:tcPr>
            <w:tcW w:w="3511" w:type="dxa"/>
            <w:gridSpan w:val="2"/>
            <w:tcBorders>
              <w:top w:val="single" w:color="auto" w:sz="4" w:space="0"/>
              <w:left w:val="nil"/>
              <w:bottom w:val="single" w:color="auto" w:sz="4" w:space="0"/>
              <w:right w:val="single" w:color="000000" w:sz="4" w:space="0"/>
            </w:tcBorders>
            <w:vAlign w:val="center"/>
          </w:tcPr>
          <w:p>
            <w:pPr>
              <w:widowControl/>
              <w:spacing w:line="24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　</w:t>
            </w:r>
          </w:p>
        </w:tc>
      </w:tr>
      <w:tr>
        <w:tblPrEx>
          <w:tblLayout w:type="fixed"/>
          <w:tblCellMar>
            <w:top w:w="0" w:type="dxa"/>
            <w:left w:w="108" w:type="dxa"/>
            <w:bottom w:w="0" w:type="dxa"/>
            <w:right w:w="108" w:type="dxa"/>
          </w:tblCellMar>
        </w:tblPrEx>
        <w:trPr>
          <w:trHeight w:val="652" w:hRule="exact"/>
        </w:trPr>
        <w:tc>
          <w:tcPr>
            <w:tcW w:w="1433" w:type="dxa"/>
            <w:tcBorders>
              <w:top w:val="nil"/>
              <w:left w:val="single" w:color="auto" w:sz="4" w:space="0"/>
              <w:bottom w:val="single" w:color="auto" w:sz="4" w:space="0"/>
              <w:right w:val="single" w:color="auto" w:sz="4" w:space="0"/>
            </w:tcBorders>
            <w:vAlign w:val="center"/>
          </w:tcPr>
          <w:p>
            <w:pPr>
              <w:widowControl/>
              <w:spacing w:line="260" w:lineRule="exact"/>
              <w:rPr>
                <w:rFonts w:ascii="宋体" w:hAnsi="宋体" w:cs="宋体"/>
                <w:color w:val="auto"/>
                <w:kern w:val="0"/>
                <w:sz w:val="24"/>
                <w:szCs w:val="24"/>
                <w:highlight w:val="none"/>
              </w:rPr>
            </w:pPr>
            <w:r>
              <w:rPr>
                <w:rFonts w:hint="eastAsia" w:ascii="宋体" w:hAnsi="宋体" w:cs="宋体"/>
                <w:color w:val="auto"/>
                <w:kern w:val="0"/>
                <w:sz w:val="24"/>
                <w:szCs w:val="24"/>
                <w:highlight w:val="none"/>
              </w:rPr>
              <w:t>从业人员</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人</w:t>
            </w:r>
            <w:r>
              <w:rPr>
                <w:rFonts w:ascii="宋体" w:hAnsi="宋体" w:cs="宋体"/>
                <w:color w:val="auto"/>
                <w:kern w:val="0"/>
                <w:sz w:val="24"/>
                <w:szCs w:val="24"/>
                <w:highlight w:val="none"/>
              </w:rPr>
              <w:t>)</w:t>
            </w:r>
          </w:p>
        </w:tc>
        <w:tc>
          <w:tcPr>
            <w:tcW w:w="3118" w:type="dxa"/>
            <w:gridSpan w:val="2"/>
            <w:tcBorders>
              <w:top w:val="single" w:color="auto" w:sz="4" w:space="0"/>
              <w:left w:val="nil"/>
              <w:bottom w:val="single" w:color="auto" w:sz="4" w:space="0"/>
              <w:right w:val="single" w:color="000000" w:sz="4" w:space="0"/>
            </w:tcBorders>
            <w:vAlign w:val="center"/>
          </w:tcPr>
          <w:p>
            <w:pPr>
              <w:widowControl/>
              <w:spacing w:line="260" w:lineRule="exact"/>
              <w:rPr>
                <w:rFonts w:ascii="宋体" w:hAnsi="宋体" w:cs="宋体"/>
                <w:color w:val="auto"/>
                <w:kern w:val="0"/>
                <w:sz w:val="24"/>
                <w:szCs w:val="24"/>
                <w:highlight w:val="none"/>
              </w:rPr>
            </w:pPr>
          </w:p>
        </w:tc>
        <w:tc>
          <w:tcPr>
            <w:tcW w:w="1418" w:type="dxa"/>
            <w:tcBorders>
              <w:top w:val="single" w:color="auto" w:sz="4" w:space="0"/>
              <w:left w:val="nil"/>
              <w:bottom w:val="single" w:color="auto" w:sz="4" w:space="0"/>
              <w:right w:val="single" w:color="auto" w:sz="4" w:space="0"/>
            </w:tcBorders>
            <w:vAlign w:val="center"/>
          </w:tcPr>
          <w:p>
            <w:pPr>
              <w:widowControl/>
              <w:spacing w:line="24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挂牌时间</w:t>
            </w:r>
          </w:p>
        </w:tc>
        <w:tc>
          <w:tcPr>
            <w:tcW w:w="3511" w:type="dxa"/>
            <w:gridSpan w:val="2"/>
            <w:tcBorders>
              <w:top w:val="single" w:color="auto" w:sz="4" w:space="0"/>
              <w:left w:val="nil"/>
              <w:bottom w:val="single" w:color="auto" w:sz="4" w:space="0"/>
              <w:right w:val="single" w:color="000000" w:sz="4" w:space="0"/>
            </w:tcBorders>
            <w:vAlign w:val="center"/>
          </w:tcPr>
          <w:p>
            <w:pPr>
              <w:widowControl/>
              <w:spacing w:line="240" w:lineRule="exact"/>
              <w:rPr>
                <w:rFonts w:ascii="宋体" w:cs="宋体"/>
                <w:color w:val="auto"/>
                <w:kern w:val="0"/>
                <w:sz w:val="24"/>
                <w:szCs w:val="24"/>
                <w:highlight w:val="none"/>
              </w:rPr>
            </w:pPr>
          </w:p>
        </w:tc>
      </w:tr>
      <w:tr>
        <w:tblPrEx>
          <w:tblLayout w:type="fixed"/>
          <w:tblCellMar>
            <w:top w:w="0" w:type="dxa"/>
            <w:left w:w="108" w:type="dxa"/>
            <w:bottom w:w="0" w:type="dxa"/>
            <w:right w:w="108" w:type="dxa"/>
          </w:tblCellMar>
        </w:tblPrEx>
        <w:trPr>
          <w:trHeight w:val="607" w:hRule="exact"/>
        </w:trPr>
        <w:tc>
          <w:tcPr>
            <w:tcW w:w="1433" w:type="dxa"/>
            <w:tcBorders>
              <w:top w:val="nil"/>
              <w:left w:val="single" w:color="auto" w:sz="4" w:space="0"/>
              <w:bottom w:val="single" w:color="auto" w:sz="4" w:space="0"/>
              <w:right w:val="single" w:color="auto"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挂牌板块</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名称</w:t>
            </w:r>
          </w:p>
        </w:tc>
        <w:tc>
          <w:tcPr>
            <w:tcW w:w="3118" w:type="dxa"/>
            <w:gridSpan w:val="2"/>
            <w:tcBorders>
              <w:top w:val="single" w:color="auto" w:sz="4" w:space="0"/>
              <w:left w:val="nil"/>
              <w:bottom w:val="single" w:color="auto" w:sz="4" w:space="0"/>
              <w:right w:val="single" w:color="000000"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　</w:t>
            </w:r>
          </w:p>
        </w:tc>
        <w:tc>
          <w:tcPr>
            <w:tcW w:w="1418" w:type="dxa"/>
            <w:tcBorders>
              <w:top w:val="single" w:color="auto" w:sz="4" w:space="0"/>
              <w:left w:val="nil"/>
              <w:bottom w:val="single" w:color="auto" w:sz="4" w:space="0"/>
              <w:right w:val="single" w:color="auto" w:sz="4" w:space="0"/>
            </w:tcBorders>
            <w:vAlign w:val="center"/>
          </w:tcPr>
          <w:p>
            <w:pPr>
              <w:widowControl/>
              <w:spacing w:line="24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公司代码</w:t>
            </w:r>
          </w:p>
        </w:tc>
        <w:tc>
          <w:tcPr>
            <w:tcW w:w="3511" w:type="dxa"/>
            <w:gridSpan w:val="2"/>
            <w:tcBorders>
              <w:top w:val="single" w:color="auto" w:sz="4" w:space="0"/>
              <w:left w:val="nil"/>
              <w:bottom w:val="single" w:color="auto" w:sz="4" w:space="0"/>
              <w:right w:val="single" w:color="000000" w:sz="4" w:space="0"/>
            </w:tcBorders>
            <w:vAlign w:val="center"/>
          </w:tcPr>
          <w:p>
            <w:pPr>
              <w:widowControl/>
              <w:spacing w:line="240" w:lineRule="exact"/>
              <w:rPr>
                <w:color w:val="auto"/>
                <w:highlight w:val="none"/>
              </w:rPr>
            </w:pPr>
          </w:p>
          <w:p>
            <w:pPr>
              <w:pStyle w:val="2"/>
              <w:rPr>
                <w:color w:val="auto"/>
                <w:highlight w:val="none"/>
              </w:rPr>
            </w:pPr>
          </w:p>
          <w:p>
            <w:pPr>
              <w:rPr>
                <w:color w:val="auto"/>
                <w:highlight w:val="none"/>
              </w:rPr>
            </w:pPr>
          </w:p>
        </w:tc>
      </w:tr>
      <w:tr>
        <w:tblPrEx>
          <w:tblLayout w:type="fixed"/>
          <w:tblCellMar>
            <w:top w:w="0" w:type="dxa"/>
            <w:left w:w="108" w:type="dxa"/>
            <w:bottom w:w="0" w:type="dxa"/>
            <w:right w:w="108" w:type="dxa"/>
          </w:tblCellMar>
        </w:tblPrEx>
        <w:trPr>
          <w:trHeight w:val="577" w:hRule="exact"/>
        </w:trPr>
        <w:tc>
          <w:tcPr>
            <w:tcW w:w="1433" w:type="dxa"/>
            <w:tcBorders>
              <w:top w:val="nil"/>
              <w:left w:val="single" w:color="auto" w:sz="4" w:space="0"/>
              <w:bottom w:val="single" w:color="auto" w:sz="4" w:space="0"/>
              <w:right w:val="single" w:color="auto" w:sz="4" w:space="0"/>
            </w:tcBorders>
            <w:vAlign w:val="center"/>
          </w:tcPr>
          <w:p>
            <w:pPr>
              <w:widowControl/>
              <w:spacing w:line="260" w:lineRule="exact"/>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是否股改及股改时间</w:t>
            </w:r>
          </w:p>
        </w:tc>
        <w:tc>
          <w:tcPr>
            <w:tcW w:w="3118" w:type="dxa"/>
            <w:gridSpan w:val="2"/>
            <w:tcBorders>
              <w:top w:val="single" w:color="auto" w:sz="4" w:space="0"/>
              <w:left w:val="nil"/>
              <w:bottom w:val="single" w:color="auto" w:sz="4" w:space="0"/>
              <w:right w:val="single" w:color="000000" w:sz="4" w:space="0"/>
            </w:tcBorders>
            <w:vAlign w:val="center"/>
          </w:tcPr>
          <w:p>
            <w:pPr>
              <w:widowControl/>
              <w:spacing w:line="260" w:lineRule="exact"/>
              <w:rPr>
                <w:rFonts w:hint="eastAsia" w:ascii="宋体" w:hAnsi="宋体" w:cs="宋体"/>
                <w:color w:val="auto"/>
                <w:kern w:val="0"/>
                <w:sz w:val="24"/>
                <w:szCs w:val="24"/>
                <w:highlight w:val="none"/>
              </w:rPr>
            </w:pPr>
          </w:p>
        </w:tc>
        <w:tc>
          <w:tcPr>
            <w:tcW w:w="1418" w:type="dxa"/>
            <w:tcBorders>
              <w:top w:val="single" w:color="auto" w:sz="4" w:space="0"/>
              <w:left w:val="nil"/>
              <w:bottom w:val="single" w:color="auto" w:sz="4" w:space="0"/>
              <w:right w:val="single" w:color="auto" w:sz="4" w:space="0"/>
            </w:tcBorders>
            <w:vAlign w:val="center"/>
          </w:tcPr>
          <w:p>
            <w:pPr>
              <w:widowControl/>
              <w:spacing w:line="240" w:lineRule="exac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推荐机构</w:t>
            </w:r>
          </w:p>
        </w:tc>
        <w:tc>
          <w:tcPr>
            <w:tcW w:w="3511" w:type="dxa"/>
            <w:gridSpan w:val="2"/>
            <w:tcBorders>
              <w:top w:val="single" w:color="auto" w:sz="4" w:space="0"/>
              <w:left w:val="nil"/>
              <w:bottom w:val="single" w:color="auto" w:sz="4" w:space="0"/>
              <w:right w:val="single" w:color="000000" w:sz="4" w:space="0"/>
            </w:tcBorders>
            <w:vAlign w:val="center"/>
          </w:tcPr>
          <w:p>
            <w:pPr>
              <w:rPr>
                <w:color w:val="auto"/>
                <w:highlight w:val="none"/>
              </w:rPr>
            </w:pPr>
          </w:p>
        </w:tc>
      </w:tr>
      <w:tr>
        <w:tblPrEx>
          <w:tblLayout w:type="fixed"/>
          <w:tblCellMar>
            <w:top w:w="0" w:type="dxa"/>
            <w:left w:w="108" w:type="dxa"/>
            <w:bottom w:w="0" w:type="dxa"/>
            <w:right w:w="108" w:type="dxa"/>
          </w:tblCellMar>
        </w:tblPrEx>
        <w:trPr>
          <w:trHeight w:val="737" w:hRule="exact"/>
        </w:trPr>
        <w:tc>
          <w:tcPr>
            <w:tcW w:w="1433" w:type="dxa"/>
            <w:tcBorders>
              <w:top w:val="nil"/>
              <w:left w:val="single" w:color="auto" w:sz="4" w:space="0"/>
              <w:bottom w:val="single" w:color="auto" w:sz="4" w:space="0"/>
              <w:right w:val="single" w:color="auto" w:sz="4" w:space="0"/>
            </w:tcBorders>
            <w:vAlign w:val="center"/>
          </w:tcPr>
          <w:p>
            <w:pPr>
              <w:widowControl/>
              <w:spacing w:line="24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申请挂牌奖励金额（万元）</w:t>
            </w:r>
          </w:p>
        </w:tc>
        <w:tc>
          <w:tcPr>
            <w:tcW w:w="3118" w:type="dxa"/>
            <w:gridSpan w:val="2"/>
            <w:tcBorders>
              <w:top w:val="single" w:color="auto" w:sz="4" w:space="0"/>
              <w:left w:val="nil"/>
              <w:bottom w:val="single" w:color="auto" w:sz="4" w:space="0"/>
              <w:right w:val="single" w:color="000000"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　</w:t>
            </w:r>
          </w:p>
        </w:tc>
        <w:tc>
          <w:tcPr>
            <w:tcW w:w="1418" w:type="dxa"/>
            <w:tcBorders>
              <w:top w:val="single" w:color="auto" w:sz="4" w:space="0"/>
              <w:left w:val="nil"/>
              <w:bottom w:val="single" w:color="auto" w:sz="4" w:space="0"/>
              <w:right w:val="single" w:color="auto" w:sz="4" w:space="0"/>
            </w:tcBorders>
            <w:vAlign w:val="center"/>
          </w:tcPr>
          <w:p>
            <w:pPr>
              <w:widowControl/>
              <w:spacing w:line="24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申请</w:t>
            </w:r>
            <w:r>
              <w:rPr>
                <w:rFonts w:hint="eastAsia" w:ascii="宋体" w:hAnsi="宋体" w:cs="宋体"/>
                <w:color w:val="auto"/>
                <w:kern w:val="0"/>
                <w:sz w:val="24"/>
                <w:szCs w:val="24"/>
                <w:highlight w:val="none"/>
                <w:lang w:eastAsia="zh-CN"/>
              </w:rPr>
              <w:t>股改</w:t>
            </w:r>
            <w:r>
              <w:rPr>
                <w:rFonts w:hint="eastAsia" w:ascii="宋体" w:hAnsi="宋体" w:cs="宋体"/>
                <w:color w:val="auto"/>
                <w:kern w:val="0"/>
                <w:sz w:val="24"/>
                <w:szCs w:val="24"/>
                <w:highlight w:val="none"/>
              </w:rPr>
              <w:t>奖励金额（万元）</w:t>
            </w:r>
          </w:p>
        </w:tc>
        <w:tc>
          <w:tcPr>
            <w:tcW w:w="3511" w:type="dxa"/>
            <w:gridSpan w:val="2"/>
            <w:tcBorders>
              <w:top w:val="single" w:color="auto" w:sz="4" w:space="0"/>
              <w:left w:val="nil"/>
              <w:bottom w:val="single" w:color="auto" w:sz="4" w:space="0"/>
              <w:right w:val="single" w:color="000000" w:sz="4" w:space="0"/>
            </w:tcBorders>
            <w:vAlign w:val="center"/>
          </w:tcPr>
          <w:p>
            <w:pPr>
              <w:widowControl/>
              <w:spacing w:line="240" w:lineRule="exact"/>
              <w:rPr>
                <w:rFonts w:ascii="宋体" w:cs="宋体"/>
                <w:color w:val="auto"/>
                <w:kern w:val="0"/>
                <w:sz w:val="24"/>
                <w:szCs w:val="24"/>
                <w:highlight w:val="none"/>
              </w:rPr>
            </w:pPr>
          </w:p>
        </w:tc>
      </w:tr>
      <w:tr>
        <w:tblPrEx>
          <w:tblLayout w:type="fixed"/>
          <w:tblCellMar>
            <w:top w:w="0" w:type="dxa"/>
            <w:left w:w="108" w:type="dxa"/>
            <w:bottom w:w="0" w:type="dxa"/>
            <w:right w:w="108" w:type="dxa"/>
          </w:tblCellMar>
        </w:tblPrEx>
        <w:trPr>
          <w:trHeight w:val="737" w:hRule="exact"/>
        </w:trPr>
        <w:tc>
          <w:tcPr>
            <w:tcW w:w="1433" w:type="dxa"/>
            <w:vMerge w:val="restart"/>
            <w:tcBorders>
              <w:top w:val="nil"/>
              <w:left w:val="single" w:color="auto" w:sz="4" w:space="0"/>
              <w:right w:val="single" w:color="auto" w:sz="4" w:space="0"/>
            </w:tcBorders>
            <w:vAlign w:val="center"/>
          </w:tcPr>
          <w:p>
            <w:pPr>
              <w:widowControl/>
              <w:spacing w:line="260" w:lineRule="exact"/>
              <w:jc w:val="center"/>
              <w:rPr>
                <w:rFonts w:ascii="宋体" w:cs="宋体"/>
                <w:color w:val="auto"/>
                <w:kern w:val="0"/>
                <w:sz w:val="24"/>
                <w:szCs w:val="24"/>
                <w:highlight w:val="none"/>
              </w:rPr>
            </w:pPr>
            <w:r>
              <w:rPr>
                <w:rFonts w:ascii="宋体" w:hAnsi="宋体" w:cs="宋体"/>
                <w:color w:val="auto"/>
                <w:kern w:val="0"/>
                <w:sz w:val="24"/>
                <w:szCs w:val="24"/>
                <w:highlight w:val="none"/>
              </w:rPr>
              <w:t>201</w:t>
            </w:r>
            <w:r>
              <w:rPr>
                <w:rFonts w:hint="eastAsia" w:ascii="宋体" w:hAnsi="宋体" w:cs="宋体"/>
                <w:color w:val="auto"/>
                <w:kern w:val="0"/>
                <w:sz w:val="24"/>
                <w:szCs w:val="24"/>
                <w:highlight w:val="none"/>
                <w:lang w:val="en-US" w:eastAsia="zh-CN"/>
              </w:rPr>
              <w:t>9</w:t>
            </w:r>
            <w:r>
              <w:rPr>
                <w:rFonts w:hint="eastAsia" w:ascii="宋体" w:hAnsi="宋体" w:cs="宋体"/>
                <w:color w:val="auto"/>
                <w:kern w:val="0"/>
                <w:sz w:val="24"/>
                <w:szCs w:val="24"/>
                <w:highlight w:val="none"/>
              </w:rPr>
              <w:t>年</w:t>
            </w:r>
          </w:p>
          <w:p>
            <w:pPr>
              <w:widowControl/>
              <w:spacing w:line="260" w:lineRule="exact"/>
              <w:jc w:val="center"/>
              <w:rPr>
                <w:rFonts w:ascii="宋体" w:cs="宋体"/>
                <w:color w:val="auto"/>
                <w:kern w:val="0"/>
                <w:sz w:val="24"/>
                <w:szCs w:val="24"/>
                <w:highlight w:val="none"/>
              </w:rPr>
            </w:pPr>
            <w:r>
              <w:rPr>
                <w:rFonts w:hint="eastAsia" w:ascii="宋体" w:hAnsi="宋体" w:cs="宋体"/>
                <w:color w:val="auto"/>
                <w:kern w:val="0"/>
                <w:sz w:val="24"/>
                <w:szCs w:val="24"/>
                <w:highlight w:val="none"/>
              </w:rPr>
              <w:t>财务状况</w:t>
            </w:r>
          </w:p>
        </w:tc>
        <w:tc>
          <w:tcPr>
            <w:tcW w:w="1559" w:type="dxa"/>
            <w:tcBorders>
              <w:top w:val="single" w:color="auto" w:sz="4" w:space="0"/>
              <w:left w:val="nil"/>
              <w:bottom w:val="single" w:color="auto" w:sz="4" w:space="0"/>
              <w:right w:val="single" w:color="000000" w:sz="4" w:space="0"/>
            </w:tcBorders>
            <w:vAlign w:val="center"/>
          </w:tcPr>
          <w:p>
            <w:pPr>
              <w:widowControl/>
              <w:spacing w:line="260" w:lineRule="exact"/>
              <w:jc w:val="center"/>
              <w:rPr>
                <w:rFonts w:ascii="宋体" w:cs="宋体"/>
                <w:color w:val="auto"/>
                <w:kern w:val="0"/>
                <w:sz w:val="24"/>
                <w:szCs w:val="24"/>
                <w:highlight w:val="none"/>
              </w:rPr>
            </w:pPr>
            <w:r>
              <w:rPr>
                <w:rFonts w:hint="eastAsia" w:ascii="宋体" w:hAnsi="宋体" w:cs="宋体"/>
                <w:color w:val="auto"/>
                <w:kern w:val="0"/>
                <w:sz w:val="24"/>
                <w:szCs w:val="24"/>
                <w:highlight w:val="none"/>
              </w:rPr>
              <w:t>资产总额</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（万元）</w:t>
            </w:r>
          </w:p>
        </w:tc>
        <w:tc>
          <w:tcPr>
            <w:tcW w:w="1559" w:type="dxa"/>
            <w:tcBorders>
              <w:top w:val="single" w:color="auto" w:sz="4" w:space="0"/>
              <w:left w:val="nil"/>
              <w:bottom w:val="single" w:color="auto" w:sz="4" w:space="0"/>
              <w:right w:val="single" w:color="000000" w:sz="4" w:space="0"/>
            </w:tcBorders>
            <w:vAlign w:val="center"/>
          </w:tcPr>
          <w:p>
            <w:pPr>
              <w:widowControl/>
              <w:spacing w:line="260" w:lineRule="exact"/>
              <w:jc w:val="center"/>
              <w:rPr>
                <w:rFonts w:ascii="宋体" w:cs="宋体"/>
                <w:color w:val="auto"/>
                <w:kern w:val="0"/>
                <w:sz w:val="24"/>
                <w:szCs w:val="24"/>
                <w:highlight w:val="none"/>
              </w:rPr>
            </w:pPr>
            <w:r>
              <w:rPr>
                <w:rFonts w:hint="eastAsia" w:ascii="宋体" w:hAnsi="宋体" w:cs="宋体"/>
                <w:color w:val="auto"/>
                <w:kern w:val="0"/>
                <w:sz w:val="24"/>
                <w:szCs w:val="24"/>
                <w:highlight w:val="none"/>
              </w:rPr>
              <w:t>净资产</w:t>
            </w:r>
          </w:p>
          <w:p>
            <w:pPr>
              <w:widowControl/>
              <w:spacing w:line="260" w:lineRule="exact"/>
              <w:jc w:val="center"/>
              <w:rPr>
                <w:rFonts w:ascii="宋体" w:cs="宋体"/>
                <w:color w:val="auto"/>
                <w:kern w:val="0"/>
                <w:sz w:val="24"/>
                <w:szCs w:val="24"/>
                <w:highlight w:val="none"/>
              </w:rPr>
            </w:pPr>
            <w:r>
              <w:rPr>
                <w:rFonts w:hint="eastAsia" w:ascii="宋体" w:hAnsi="宋体" w:cs="宋体"/>
                <w:color w:val="auto"/>
                <w:kern w:val="0"/>
                <w:sz w:val="24"/>
                <w:szCs w:val="24"/>
                <w:highlight w:val="none"/>
              </w:rPr>
              <w:t>（万元）</w:t>
            </w:r>
          </w:p>
        </w:tc>
        <w:tc>
          <w:tcPr>
            <w:tcW w:w="141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宋体" w:cs="宋体"/>
                <w:color w:val="auto"/>
                <w:kern w:val="0"/>
                <w:sz w:val="24"/>
                <w:szCs w:val="24"/>
                <w:highlight w:val="none"/>
              </w:rPr>
            </w:pPr>
            <w:r>
              <w:rPr>
                <w:rFonts w:hint="eastAsia" w:ascii="宋体" w:hAnsi="宋体" w:cs="宋体"/>
                <w:color w:val="auto"/>
                <w:kern w:val="0"/>
                <w:sz w:val="24"/>
                <w:szCs w:val="24"/>
                <w:highlight w:val="none"/>
              </w:rPr>
              <w:t>营业收入（万元）</w:t>
            </w:r>
          </w:p>
        </w:tc>
        <w:tc>
          <w:tcPr>
            <w:tcW w:w="1701" w:type="dxa"/>
            <w:tcBorders>
              <w:top w:val="single" w:color="auto" w:sz="4" w:space="0"/>
              <w:left w:val="nil"/>
              <w:bottom w:val="single" w:color="auto" w:sz="4" w:space="0"/>
              <w:right w:val="single" w:color="000000" w:sz="4" w:space="0"/>
            </w:tcBorders>
            <w:vAlign w:val="center"/>
          </w:tcPr>
          <w:p>
            <w:pPr>
              <w:widowControl/>
              <w:spacing w:line="240" w:lineRule="exact"/>
              <w:jc w:val="center"/>
              <w:rPr>
                <w:rFonts w:ascii="宋体" w:cs="宋体"/>
                <w:color w:val="auto"/>
                <w:kern w:val="0"/>
                <w:sz w:val="24"/>
                <w:szCs w:val="24"/>
                <w:highlight w:val="none"/>
              </w:rPr>
            </w:pPr>
            <w:r>
              <w:rPr>
                <w:rFonts w:hint="eastAsia" w:ascii="宋体" w:hAnsi="宋体" w:cs="宋体"/>
                <w:color w:val="auto"/>
                <w:kern w:val="0"/>
                <w:sz w:val="24"/>
                <w:szCs w:val="24"/>
                <w:highlight w:val="none"/>
              </w:rPr>
              <w:t>实交税金</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（万元）</w:t>
            </w:r>
          </w:p>
        </w:tc>
        <w:tc>
          <w:tcPr>
            <w:tcW w:w="1810" w:type="dxa"/>
            <w:tcBorders>
              <w:top w:val="single" w:color="auto" w:sz="4" w:space="0"/>
              <w:left w:val="nil"/>
              <w:bottom w:val="single" w:color="auto" w:sz="4" w:space="0"/>
              <w:right w:val="single" w:color="000000" w:sz="4" w:space="0"/>
            </w:tcBorders>
            <w:vAlign w:val="center"/>
          </w:tcPr>
          <w:p>
            <w:pPr>
              <w:widowControl/>
              <w:spacing w:line="240" w:lineRule="exact"/>
              <w:jc w:val="center"/>
              <w:rPr>
                <w:rFonts w:ascii="宋体" w:cs="宋体"/>
                <w:color w:val="auto"/>
                <w:kern w:val="0"/>
                <w:sz w:val="24"/>
                <w:szCs w:val="24"/>
                <w:highlight w:val="none"/>
              </w:rPr>
            </w:pPr>
            <w:r>
              <w:rPr>
                <w:rFonts w:hint="eastAsia" w:ascii="宋体" w:hAnsi="宋体" w:cs="宋体"/>
                <w:color w:val="auto"/>
                <w:kern w:val="0"/>
                <w:sz w:val="24"/>
                <w:szCs w:val="24"/>
                <w:highlight w:val="none"/>
              </w:rPr>
              <w:t>利润总额</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（万元）</w:t>
            </w:r>
          </w:p>
        </w:tc>
      </w:tr>
      <w:tr>
        <w:tblPrEx>
          <w:tblLayout w:type="fixed"/>
          <w:tblCellMar>
            <w:top w:w="0" w:type="dxa"/>
            <w:left w:w="108" w:type="dxa"/>
            <w:bottom w:w="0" w:type="dxa"/>
            <w:right w:w="108" w:type="dxa"/>
          </w:tblCellMar>
        </w:tblPrEx>
        <w:trPr>
          <w:trHeight w:val="442" w:hRule="exact"/>
        </w:trPr>
        <w:tc>
          <w:tcPr>
            <w:tcW w:w="1433" w:type="dxa"/>
            <w:vMerge w:val="continue"/>
            <w:tcBorders>
              <w:left w:val="single" w:color="auto" w:sz="4" w:space="0"/>
              <w:bottom w:val="single" w:color="auto" w:sz="4" w:space="0"/>
              <w:right w:val="single" w:color="auto" w:sz="4" w:space="0"/>
            </w:tcBorders>
            <w:vAlign w:val="center"/>
          </w:tcPr>
          <w:p>
            <w:pPr>
              <w:widowControl/>
              <w:spacing w:line="260" w:lineRule="exact"/>
              <w:rPr>
                <w:rFonts w:ascii="宋体" w:cs="宋体"/>
                <w:color w:val="auto"/>
                <w:kern w:val="0"/>
                <w:sz w:val="24"/>
                <w:szCs w:val="24"/>
                <w:highlight w:val="none"/>
              </w:rPr>
            </w:pPr>
          </w:p>
        </w:tc>
        <w:tc>
          <w:tcPr>
            <w:tcW w:w="1559" w:type="dxa"/>
            <w:tcBorders>
              <w:top w:val="single" w:color="auto" w:sz="4" w:space="0"/>
              <w:left w:val="nil"/>
              <w:bottom w:val="single" w:color="auto" w:sz="4" w:space="0"/>
              <w:right w:val="single" w:color="000000" w:sz="4" w:space="0"/>
            </w:tcBorders>
            <w:vAlign w:val="center"/>
          </w:tcPr>
          <w:p>
            <w:pPr>
              <w:widowControl/>
              <w:spacing w:line="260" w:lineRule="exact"/>
              <w:rPr>
                <w:rFonts w:ascii="宋体" w:cs="宋体"/>
                <w:color w:val="auto"/>
                <w:kern w:val="0"/>
                <w:sz w:val="24"/>
                <w:szCs w:val="24"/>
                <w:highlight w:val="none"/>
              </w:rPr>
            </w:pPr>
          </w:p>
        </w:tc>
        <w:tc>
          <w:tcPr>
            <w:tcW w:w="1559" w:type="dxa"/>
            <w:tcBorders>
              <w:top w:val="single" w:color="auto" w:sz="4" w:space="0"/>
              <w:left w:val="nil"/>
              <w:bottom w:val="single" w:color="auto" w:sz="4" w:space="0"/>
              <w:right w:val="single" w:color="000000" w:sz="4" w:space="0"/>
            </w:tcBorders>
            <w:vAlign w:val="center"/>
          </w:tcPr>
          <w:p>
            <w:pPr>
              <w:widowControl/>
              <w:spacing w:line="260" w:lineRule="exact"/>
              <w:rPr>
                <w:rFonts w:ascii="宋体" w:cs="宋体"/>
                <w:color w:val="auto"/>
                <w:kern w:val="0"/>
                <w:sz w:val="24"/>
                <w:szCs w:val="24"/>
                <w:highlight w:val="none"/>
              </w:rPr>
            </w:pPr>
          </w:p>
        </w:tc>
        <w:tc>
          <w:tcPr>
            <w:tcW w:w="1418" w:type="dxa"/>
            <w:tcBorders>
              <w:top w:val="single" w:color="auto" w:sz="4" w:space="0"/>
              <w:left w:val="nil"/>
              <w:bottom w:val="single" w:color="auto" w:sz="4" w:space="0"/>
              <w:right w:val="single" w:color="auto" w:sz="4" w:space="0"/>
            </w:tcBorders>
            <w:vAlign w:val="center"/>
          </w:tcPr>
          <w:p>
            <w:pPr>
              <w:widowControl/>
              <w:spacing w:line="240" w:lineRule="exact"/>
              <w:rPr>
                <w:rFonts w:ascii="宋体" w:cs="宋体"/>
                <w:color w:val="auto"/>
                <w:kern w:val="0"/>
                <w:sz w:val="24"/>
                <w:szCs w:val="24"/>
                <w:highlight w:val="none"/>
              </w:rPr>
            </w:pPr>
          </w:p>
        </w:tc>
        <w:tc>
          <w:tcPr>
            <w:tcW w:w="1701" w:type="dxa"/>
            <w:tcBorders>
              <w:top w:val="single" w:color="auto" w:sz="4" w:space="0"/>
              <w:left w:val="nil"/>
              <w:bottom w:val="single" w:color="auto" w:sz="4" w:space="0"/>
              <w:right w:val="single" w:color="000000" w:sz="4" w:space="0"/>
            </w:tcBorders>
            <w:vAlign w:val="center"/>
          </w:tcPr>
          <w:p>
            <w:pPr>
              <w:widowControl/>
              <w:spacing w:line="240" w:lineRule="exact"/>
              <w:rPr>
                <w:rFonts w:ascii="宋体" w:cs="宋体"/>
                <w:color w:val="auto"/>
                <w:kern w:val="0"/>
                <w:sz w:val="24"/>
                <w:szCs w:val="24"/>
                <w:highlight w:val="none"/>
              </w:rPr>
            </w:pPr>
          </w:p>
        </w:tc>
        <w:tc>
          <w:tcPr>
            <w:tcW w:w="1810" w:type="dxa"/>
            <w:tcBorders>
              <w:top w:val="single" w:color="auto" w:sz="4" w:space="0"/>
              <w:left w:val="nil"/>
              <w:bottom w:val="single" w:color="auto" w:sz="4" w:space="0"/>
              <w:right w:val="single" w:color="000000" w:sz="4" w:space="0"/>
            </w:tcBorders>
            <w:vAlign w:val="center"/>
          </w:tcPr>
          <w:p>
            <w:pPr>
              <w:widowControl/>
              <w:spacing w:line="240" w:lineRule="exact"/>
              <w:rPr>
                <w:rFonts w:ascii="宋体" w:cs="宋体"/>
                <w:color w:val="auto"/>
                <w:kern w:val="0"/>
                <w:sz w:val="24"/>
                <w:szCs w:val="24"/>
                <w:highlight w:val="none"/>
              </w:rPr>
            </w:pPr>
          </w:p>
        </w:tc>
      </w:tr>
      <w:tr>
        <w:tblPrEx>
          <w:tblLayout w:type="fixed"/>
          <w:tblCellMar>
            <w:top w:w="0" w:type="dxa"/>
            <w:left w:w="108" w:type="dxa"/>
            <w:bottom w:w="0" w:type="dxa"/>
            <w:right w:w="108" w:type="dxa"/>
          </w:tblCellMar>
        </w:tblPrEx>
        <w:trPr>
          <w:trHeight w:val="548" w:hRule="exact"/>
        </w:trPr>
        <w:tc>
          <w:tcPr>
            <w:tcW w:w="1433" w:type="dxa"/>
            <w:vMerge w:val="restart"/>
            <w:tcBorders>
              <w:top w:val="nil"/>
              <w:left w:val="single" w:color="auto" w:sz="4" w:space="0"/>
              <w:bottom w:val="single" w:color="auto" w:sz="4" w:space="0"/>
              <w:right w:val="single" w:color="auto"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银行开户许可证信息</w:t>
            </w:r>
          </w:p>
        </w:tc>
        <w:tc>
          <w:tcPr>
            <w:tcW w:w="1559" w:type="dxa"/>
            <w:tcBorders>
              <w:top w:val="nil"/>
              <w:left w:val="nil"/>
              <w:bottom w:val="single" w:color="auto" w:sz="4" w:space="0"/>
              <w:right w:val="nil"/>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帐户名称</w:t>
            </w:r>
          </w:p>
        </w:tc>
        <w:tc>
          <w:tcPr>
            <w:tcW w:w="6488" w:type="dxa"/>
            <w:gridSpan w:val="4"/>
            <w:tcBorders>
              <w:top w:val="single" w:color="auto" w:sz="4" w:space="0"/>
              <w:left w:val="single" w:color="auto" w:sz="4" w:space="0"/>
              <w:bottom w:val="single" w:color="auto" w:sz="4" w:space="0"/>
              <w:right w:val="single" w:color="auto"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　</w:t>
            </w:r>
          </w:p>
        </w:tc>
      </w:tr>
      <w:tr>
        <w:tblPrEx>
          <w:tblLayout w:type="fixed"/>
          <w:tblCellMar>
            <w:top w:w="0" w:type="dxa"/>
            <w:left w:w="108" w:type="dxa"/>
            <w:bottom w:w="0" w:type="dxa"/>
            <w:right w:w="108" w:type="dxa"/>
          </w:tblCellMar>
        </w:tblPrEx>
        <w:trPr>
          <w:trHeight w:val="428" w:hRule="exact"/>
        </w:trPr>
        <w:tc>
          <w:tcPr>
            <w:tcW w:w="1433" w:type="dxa"/>
            <w:vMerge w:val="continue"/>
            <w:tcBorders>
              <w:top w:val="nil"/>
              <w:left w:val="single" w:color="auto" w:sz="4" w:space="0"/>
              <w:bottom w:val="single" w:color="auto" w:sz="4" w:space="0"/>
              <w:right w:val="single" w:color="auto" w:sz="4" w:space="0"/>
            </w:tcBorders>
            <w:vAlign w:val="center"/>
          </w:tcPr>
          <w:p>
            <w:pPr>
              <w:widowControl/>
              <w:spacing w:line="260" w:lineRule="exact"/>
              <w:rPr>
                <w:rFonts w:ascii="宋体" w:cs="宋体"/>
                <w:color w:val="auto"/>
                <w:kern w:val="0"/>
                <w:sz w:val="24"/>
                <w:szCs w:val="24"/>
                <w:highlight w:val="none"/>
              </w:rPr>
            </w:pPr>
          </w:p>
        </w:tc>
        <w:tc>
          <w:tcPr>
            <w:tcW w:w="1559" w:type="dxa"/>
            <w:tcBorders>
              <w:top w:val="nil"/>
              <w:left w:val="nil"/>
              <w:bottom w:val="single" w:color="auto" w:sz="4" w:space="0"/>
              <w:right w:val="nil"/>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开户行</w:t>
            </w:r>
          </w:p>
        </w:tc>
        <w:tc>
          <w:tcPr>
            <w:tcW w:w="6488" w:type="dxa"/>
            <w:gridSpan w:val="4"/>
            <w:tcBorders>
              <w:top w:val="single" w:color="auto" w:sz="4" w:space="0"/>
              <w:left w:val="single" w:color="auto" w:sz="4" w:space="0"/>
              <w:bottom w:val="single" w:color="auto" w:sz="4" w:space="0"/>
              <w:right w:val="single" w:color="auto"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　</w:t>
            </w:r>
          </w:p>
        </w:tc>
      </w:tr>
      <w:tr>
        <w:tblPrEx>
          <w:tblLayout w:type="fixed"/>
          <w:tblCellMar>
            <w:top w:w="0" w:type="dxa"/>
            <w:left w:w="108" w:type="dxa"/>
            <w:bottom w:w="0" w:type="dxa"/>
            <w:right w:w="108" w:type="dxa"/>
          </w:tblCellMar>
        </w:tblPrEx>
        <w:trPr>
          <w:trHeight w:val="419" w:hRule="exact"/>
        </w:trPr>
        <w:tc>
          <w:tcPr>
            <w:tcW w:w="1433" w:type="dxa"/>
            <w:vMerge w:val="continue"/>
            <w:tcBorders>
              <w:top w:val="nil"/>
              <w:left w:val="single" w:color="auto" w:sz="4" w:space="0"/>
              <w:bottom w:val="single" w:color="000000" w:sz="4" w:space="0"/>
              <w:right w:val="single" w:color="auto" w:sz="4" w:space="0"/>
            </w:tcBorders>
            <w:vAlign w:val="center"/>
          </w:tcPr>
          <w:p>
            <w:pPr>
              <w:widowControl/>
              <w:spacing w:line="260" w:lineRule="exact"/>
              <w:rPr>
                <w:rFonts w:ascii="宋体" w:cs="宋体"/>
                <w:color w:val="auto"/>
                <w:kern w:val="0"/>
                <w:sz w:val="24"/>
                <w:szCs w:val="24"/>
                <w:highlight w:val="none"/>
              </w:rPr>
            </w:pPr>
          </w:p>
        </w:tc>
        <w:tc>
          <w:tcPr>
            <w:tcW w:w="1559" w:type="dxa"/>
            <w:tcBorders>
              <w:top w:val="nil"/>
              <w:left w:val="nil"/>
              <w:bottom w:val="single" w:color="000000" w:sz="4" w:space="0"/>
              <w:right w:val="nil"/>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帐号</w:t>
            </w:r>
          </w:p>
        </w:tc>
        <w:tc>
          <w:tcPr>
            <w:tcW w:w="6488" w:type="dxa"/>
            <w:gridSpan w:val="4"/>
            <w:tcBorders>
              <w:top w:val="single" w:color="auto" w:sz="4" w:space="0"/>
              <w:left w:val="single" w:color="auto" w:sz="4" w:space="0"/>
              <w:bottom w:val="single" w:color="000000" w:sz="4" w:space="0"/>
              <w:right w:val="single" w:color="auto"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　</w:t>
            </w:r>
          </w:p>
        </w:tc>
      </w:tr>
      <w:tr>
        <w:tblPrEx>
          <w:tblLayout w:type="fixed"/>
          <w:tblCellMar>
            <w:top w:w="0" w:type="dxa"/>
            <w:left w:w="108" w:type="dxa"/>
            <w:bottom w:w="0" w:type="dxa"/>
            <w:right w:w="108" w:type="dxa"/>
          </w:tblCellMar>
        </w:tblPrEx>
        <w:trPr>
          <w:trHeight w:val="1415" w:hRule="atLeast"/>
        </w:trPr>
        <w:tc>
          <w:tcPr>
            <w:tcW w:w="9480" w:type="dxa"/>
            <w:gridSpan w:val="6"/>
            <w:tcBorders>
              <w:top w:val="single" w:color="000000" w:sz="4" w:space="0"/>
              <w:left w:val="single" w:color="auto" w:sz="4" w:space="0"/>
              <w:bottom w:val="single" w:color="auto" w:sz="4" w:space="0"/>
              <w:right w:val="single" w:color="auto" w:sz="4" w:space="0"/>
            </w:tcBorders>
            <w:vAlign w:val="center"/>
          </w:tcPr>
          <w:p>
            <w:pPr>
              <w:widowControl/>
              <w:spacing w:line="260" w:lineRule="exact"/>
              <w:rPr>
                <w:rFonts w:ascii="宋体" w:cs="宋体"/>
                <w:color w:val="auto"/>
                <w:kern w:val="0"/>
                <w:sz w:val="24"/>
                <w:szCs w:val="24"/>
                <w:highlight w:val="none"/>
              </w:rPr>
            </w:pPr>
            <w:r>
              <w:rPr>
                <w:rFonts w:hint="eastAsia" w:ascii="宋体" w:hAnsi="宋体" w:cs="宋体"/>
                <w:color w:val="auto"/>
                <w:kern w:val="0"/>
                <w:sz w:val="24"/>
                <w:szCs w:val="24"/>
                <w:highlight w:val="none"/>
              </w:rPr>
              <w:t>企业承诺：</w:t>
            </w:r>
            <w:r>
              <w:rPr>
                <w:rFonts w:ascii="宋体" w:hAnsi="宋体" w:cs="宋体"/>
                <w:color w:val="auto"/>
                <w:kern w:val="0"/>
                <w:sz w:val="24"/>
                <w:szCs w:val="24"/>
                <w:highlight w:val="none"/>
              </w:rPr>
              <w:t>1.</w:t>
            </w:r>
            <w:r>
              <w:rPr>
                <w:rFonts w:hint="eastAsia" w:ascii="宋体" w:hAnsi="宋体" w:cs="宋体"/>
                <w:color w:val="auto"/>
                <w:kern w:val="0"/>
                <w:sz w:val="24"/>
                <w:szCs w:val="24"/>
                <w:highlight w:val="none"/>
              </w:rPr>
              <w:t>本公司申报股改挂牌奖励所提交的申报材料均真实、合法，如有不实之处，愿负相应法律责任，并承担由此产生的一切后果；</w:t>
            </w:r>
            <w:r>
              <w:rPr>
                <w:rFonts w:ascii="宋体" w:hAnsi="宋体" w:cs="宋体"/>
                <w:color w:val="auto"/>
                <w:kern w:val="0"/>
                <w:sz w:val="24"/>
                <w:szCs w:val="24"/>
                <w:highlight w:val="none"/>
              </w:rPr>
              <w:t>2</w:t>
            </w:r>
            <w:r>
              <w:rPr>
                <w:rFonts w:hint="eastAsia" w:ascii="宋体" w:hAnsi="宋体" w:cs="宋体"/>
                <w:color w:val="auto"/>
                <w:kern w:val="0"/>
                <w:sz w:val="24"/>
                <w:szCs w:val="24"/>
                <w:highlight w:val="none"/>
              </w:rPr>
              <w:t>．本公司未获得市级其他部门的股改挂牌奖励资金。</w:t>
            </w:r>
          </w:p>
          <w:p>
            <w:pPr>
              <w:spacing w:line="260" w:lineRule="exact"/>
              <w:rPr>
                <w:rFonts w:ascii="宋体" w:cs="宋体"/>
                <w:color w:val="auto"/>
                <w:kern w:val="0"/>
                <w:sz w:val="24"/>
                <w:szCs w:val="24"/>
                <w:highlight w:val="none"/>
              </w:rPr>
            </w:pPr>
          </w:p>
          <w:p>
            <w:pPr>
              <w:widowControl/>
              <w:spacing w:line="260" w:lineRule="exact"/>
              <w:jc w:val="center"/>
              <w:rPr>
                <w:rFonts w:ascii="宋体" w:cs="宋体"/>
                <w:color w:val="auto"/>
                <w:kern w:val="0"/>
                <w:sz w:val="24"/>
                <w:szCs w:val="24"/>
                <w:highlight w:val="none"/>
              </w:rPr>
            </w:pP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法定代表人（公章）：</w:t>
            </w:r>
          </w:p>
          <w:p>
            <w:pPr>
              <w:spacing w:line="260" w:lineRule="exact"/>
              <w:ind w:firstLine="5400" w:firstLineChars="2250"/>
              <w:rPr>
                <w:rFonts w:ascii="宋体" w:cs="宋体"/>
                <w:color w:val="auto"/>
                <w:kern w:val="0"/>
                <w:sz w:val="24"/>
                <w:szCs w:val="24"/>
                <w:highlight w:val="none"/>
              </w:rPr>
            </w:pP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年</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月</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日</w:t>
            </w:r>
          </w:p>
        </w:tc>
      </w:tr>
    </w:tbl>
    <w:p>
      <w:pP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联系人：</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联系电话：</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申报时间：</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年</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月</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日</w:t>
      </w:r>
    </w:p>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3"/>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- 43 -</w:t>
                          </w:r>
                          <w:r>
                            <w:rPr>
                              <w:rFonts w:ascii="宋体" w:hAnsi="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LNJ&#10;WO7QAAAABQEAAA8AAAAAAAAAAQAgAAAAIgAAAGRycy9kb3ducmV2LnhtbFBLAQIUABQAAAAIAIdO&#10;4kAb/oo/uQEAAFYDAAAOAAAAAAAAAAEAIAAAAB8BAABkcnMvZTJvRG9jLnhtbFBLBQYAAAAABgAG&#10;AFkBAABKBQAAAAA=&#10;">
              <v:fill on="f" focussize="0,0"/>
              <v:stroke on="f" weight="0.5pt"/>
              <v:imagedata o:title=""/>
              <o:lock v:ext="edit" aspectratio="f"/>
              <v:textbox inset="0mm,0mm,0mm,0mm" style="mso-fit-shape-to-text:t;">
                <w:txbxContent>
                  <w:p>
                    <w:pPr>
                      <w:pStyle w:val="3"/>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- 43 -</w:t>
                    </w:r>
                    <w:r>
                      <w:rPr>
                        <w:rFonts w:ascii="宋体" w:hAnsi="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826AC4"/>
    <w:rsid w:val="074A007B"/>
    <w:rsid w:val="0A8F0613"/>
    <w:rsid w:val="0AC80F63"/>
    <w:rsid w:val="0BB609F1"/>
    <w:rsid w:val="11F5696D"/>
    <w:rsid w:val="131471B9"/>
    <w:rsid w:val="18BD6759"/>
    <w:rsid w:val="1FC1265C"/>
    <w:rsid w:val="2335428D"/>
    <w:rsid w:val="27E23E0A"/>
    <w:rsid w:val="2CB16CB0"/>
    <w:rsid w:val="34D43960"/>
    <w:rsid w:val="36020354"/>
    <w:rsid w:val="3D506E34"/>
    <w:rsid w:val="418E083C"/>
    <w:rsid w:val="44673AF8"/>
    <w:rsid w:val="47174D33"/>
    <w:rsid w:val="4C237579"/>
    <w:rsid w:val="4CCD3982"/>
    <w:rsid w:val="613379D5"/>
    <w:rsid w:val="631D162F"/>
    <w:rsid w:val="689322FA"/>
    <w:rsid w:val="68D16B49"/>
    <w:rsid w:val="706253DA"/>
    <w:rsid w:val="73691EAE"/>
    <w:rsid w:val="79A40CC5"/>
    <w:rsid w:val="7E295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8">
    <w:name w:val="普通(网站)5"/>
    <w:basedOn w:val="1"/>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2020-04-23T11:25:20Z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