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十二、重庆市中小企业融资服务专项绩效奖补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spacing w:line="54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在重庆市行政区域内注册，为重庆市中小企业提供融资政策宣传解读、融资信息咨询、投融资推介对接、融资培训等服务的融资服务机构（金融机构和类金融机构等除外）。</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numPr>
          <w:ilvl w:val="0"/>
          <w:numId w:val="0"/>
        </w:numPr>
        <w:spacing w:line="540" w:lineRule="exact"/>
        <w:ind w:firstLine="640" w:firstLineChars="200"/>
        <w:rPr>
          <w:rFonts w:hint="eastAsia" w:ascii="方正仿宋_GBK" w:eastAsia="方正仿宋_GBK"/>
          <w:color w:val="auto"/>
          <w:sz w:val="32"/>
          <w:szCs w:val="32"/>
          <w:highlight w:val="none"/>
          <w:lang w:eastAsia="zh-CN"/>
        </w:rPr>
      </w:pPr>
      <w:r>
        <w:rPr>
          <w:rFonts w:hint="eastAsia" w:ascii="方正仿宋_GBK" w:eastAsia="方正仿宋_GBK"/>
          <w:color w:val="auto"/>
          <w:sz w:val="32"/>
          <w:szCs w:val="32"/>
          <w:highlight w:val="none"/>
          <w:lang w:val="en-US" w:eastAsia="zh-CN"/>
        </w:rPr>
        <w:t>1.</w:t>
      </w:r>
      <w:r>
        <w:rPr>
          <w:rFonts w:hint="eastAsia" w:ascii="方正仿宋_GBK" w:eastAsia="方正仿宋_GBK"/>
          <w:color w:val="auto"/>
          <w:sz w:val="32"/>
          <w:szCs w:val="32"/>
          <w:highlight w:val="none"/>
        </w:rPr>
        <w:t>在重庆市行政区域内注册登记且存续满一年以上，且向</w:t>
      </w:r>
      <w:r>
        <w:rPr>
          <w:rFonts w:hint="eastAsia" w:ascii="方正仿宋_GBK" w:eastAsia="方正仿宋_GBK"/>
          <w:color w:val="auto"/>
          <w:sz w:val="32"/>
          <w:szCs w:val="32"/>
          <w:highlight w:val="none"/>
          <w:lang w:eastAsia="zh-CN"/>
        </w:rPr>
        <w:t>市经济信息委</w:t>
      </w:r>
      <w:r>
        <w:rPr>
          <w:rFonts w:hint="eastAsia" w:ascii="方正仿宋_GBK" w:eastAsia="方正仿宋_GBK"/>
          <w:color w:val="auto"/>
          <w:sz w:val="32"/>
          <w:szCs w:val="32"/>
          <w:highlight w:val="none"/>
        </w:rPr>
        <w:t>提交</w:t>
      </w:r>
      <w:r>
        <w:rPr>
          <w:rFonts w:hint="eastAsia" w:ascii="方正仿宋_GBK" w:eastAsia="方正仿宋_GBK"/>
          <w:color w:val="auto"/>
          <w:sz w:val="32"/>
          <w:szCs w:val="32"/>
          <w:highlight w:val="none"/>
          <w:lang w:eastAsia="zh-CN"/>
        </w:rPr>
        <w:t>当年</w:t>
      </w:r>
      <w:r>
        <w:rPr>
          <w:rFonts w:hint="eastAsia" w:ascii="方正仿宋_GBK" w:eastAsia="方正仿宋_GBK"/>
          <w:color w:val="auto"/>
          <w:sz w:val="32"/>
          <w:szCs w:val="32"/>
          <w:highlight w:val="none"/>
        </w:rPr>
        <w:t>年度工作方案的融资服务机构</w:t>
      </w:r>
      <w:r>
        <w:rPr>
          <w:rFonts w:hint="eastAsia" w:ascii="方正仿宋_GBK" w:eastAsia="方正仿宋_GBK"/>
          <w:color w:val="auto"/>
          <w:sz w:val="32"/>
          <w:szCs w:val="32"/>
          <w:highlight w:val="none"/>
          <w:lang w:eastAsia="zh-CN"/>
        </w:rPr>
        <w:t>；</w:t>
      </w:r>
    </w:p>
    <w:p>
      <w:pPr>
        <w:spacing w:line="540" w:lineRule="exact"/>
        <w:ind w:firstLine="640" w:firstLineChars="200"/>
        <w:rPr>
          <w:rFonts w:hint="eastAsia" w:ascii="方正仿宋_GBK" w:hAnsi="华文仿宋" w:eastAsia="方正仿宋_GBK"/>
          <w:bCs/>
          <w:color w:val="auto"/>
          <w:kern w:val="0"/>
          <w:sz w:val="32"/>
          <w:szCs w:val="32"/>
          <w:highlight w:val="none"/>
          <w:lang w:eastAsia="zh-CN"/>
        </w:rPr>
      </w:pPr>
      <w:r>
        <w:rPr>
          <w:rFonts w:hint="eastAsia" w:ascii="方正仿宋_GBK" w:eastAsia="方正仿宋_GBK"/>
          <w:color w:val="auto"/>
          <w:sz w:val="32"/>
          <w:szCs w:val="32"/>
          <w:highlight w:val="none"/>
          <w:lang w:val="en-US" w:eastAsia="zh-CN"/>
        </w:rPr>
        <w:t>2.</w:t>
      </w:r>
      <w:r>
        <w:rPr>
          <w:rFonts w:hint="eastAsia" w:ascii="方正仿宋_GBK" w:hAnsi="方正仿宋_GBK" w:eastAsia="方正仿宋_GBK" w:cs="方正仿宋_GBK"/>
          <w:color w:val="auto"/>
          <w:sz w:val="32"/>
          <w:szCs w:val="32"/>
          <w:highlight w:val="none"/>
        </w:rPr>
        <w:t>在重庆市中小企业公共服务平台网站上注册并按要求定期报送数据</w:t>
      </w:r>
      <w:r>
        <w:rPr>
          <w:rFonts w:hint="eastAsia" w:ascii="方正仿宋_GBK" w:hAnsi="华文仿宋" w:eastAsia="方正仿宋_GBK"/>
          <w:bCs/>
          <w:color w:val="auto"/>
          <w:kern w:val="0"/>
          <w:sz w:val="32"/>
          <w:szCs w:val="32"/>
          <w:highlight w:val="none"/>
        </w:rPr>
        <w:t>，</w:t>
      </w:r>
      <w:r>
        <w:rPr>
          <w:rFonts w:hint="eastAsia" w:ascii="方正仿宋_GBK" w:hAnsi="方正仿宋_GBK" w:eastAsia="方正仿宋_GBK" w:cs="方正仿宋_GBK"/>
          <w:color w:val="auto"/>
          <w:sz w:val="32"/>
          <w:szCs w:val="32"/>
          <w:highlight w:val="none"/>
        </w:rPr>
        <w:t>申报时以网站上报送数据为准，不得临时增加数据</w:t>
      </w:r>
      <w:r>
        <w:rPr>
          <w:rFonts w:hint="eastAsia" w:ascii="方正仿宋_GBK" w:hAnsi="方正仿宋_GBK" w:eastAsia="方正仿宋_GBK" w:cs="方正仿宋_GBK"/>
          <w:color w:val="auto"/>
          <w:sz w:val="32"/>
          <w:szCs w:val="32"/>
          <w:highlight w:val="none"/>
          <w:lang w:eastAsia="zh-CN"/>
        </w:rPr>
        <w:t>；</w:t>
      </w:r>
    </w:p>
    <w:p>
      <w:pPr>
        <w:spacing w:line="540" w:lineRule="exact"/>
        <w:ind w:firstLine="640" w:firstLineChars="200"/>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val="en-US" w:eastAsia="zh-CN"/>
        </w:rPr>
        <w:t>3.</w:t>
      </w:r>
      <w:r>
        <w:rPr>
          <w:rFonts w:hint="eastAsia" w:ascii="方正仿宋_GBK" w:hAnsi="方正仿宋_GBK" w:eastAsia="方正仿宋_GBK" w:cs="方正仿宋_GBK"/>
          <w:color w:val="auto"/>
          <w:sz w:val="32"/>
          <w:szCs w:val="32"/>
          <w:highlight w:val="none"/>
        </w:rPr>
        <w:t>主要为中小企业提供融资服务，服务业绩突出，上年度服务重庆市内的中小企业</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rPr>
        <w:t>0户以上，开展各类融资服务活动10次以上，帮助企业融资总额5000万元以上，服务满意度达到80%以上</w:t>
      </w:r>
      <w:r>
        <w:rPr>
          <w:rFonts w:hint="eastAsia" w:ascii="方正仿宋_GBK" w:hAnsi="方正仿宋_GBK" w:eastAsia="方正仿宋_GBK" w:cs="方正仿宋_GBK"/>
          <w:color w:val="auto"/>
          <w:sz w:val="32"/>
          <w:szCs w:val="32"/>
          <w:highlight w:val="none"/>
          <w:lang w:eastAsia="zh-CN"/>
        </w:rPr>
        <w:t>；</w:t>
      </w:r>
    </w:p>
    <w:p>
      <w:pPr>
        <w:spacing w:line="540" w:lineRule="exact"/>
        <w:ind w:firstLine="640" w:firstLineChars="200"/>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val="en-US" w:eastAsia="zh-CN"/>
        </w:rPr>
        <w:t>4.</w:t>
      </w:r>
      <w:r>
        <w:rPr>
          <w:rFonts w:hint="eastAsia" w:ascii="方正仿宋_GBK" w:hAnsi="方正仿宋_GBK" w:eastAsia="方正仿宋_GBK" w:cs="方正仿宋_GBK"/>
          <w:color w:val="auto"/>
          <w:sz w:val="32"/>
          <w:szCs w:val="32"/>
          <w:highlight w:val="none"/>
        </w:rPr>
        <w:t>上年度服务性支出50万元以上</w:t>
      </w:r>
      <w:r>
        <w:rPr>
          <w:rFonts w:hint="eastAsia" w:ascii="方正仿宋_GBK" w:hAnsi="方正仿宋_GBK" w:eastAsia="方正仿宋_GBK" w:cs="方正仿宋_GBK"/>
          <w:color w:val="auto"/>
          <w:sz w:val="32"/>
          <w:szCs w:val="32"/>
          <w:highlight w:val="none"/>
          <w:lang w:eastAsia="zh-CN"/>
        </w:rPr>
        <w:t>；</w:t>
      </w:r>
    </w:p>
    <w:p>
      <w:pPr>
        <w:autoSpaceDE w:val="0"/>
        <w:spacing w:line="540" w:lineRule="exact"/>
        <w:ind w:firstLine="640" w:firstLineChars="200"/>
        <w:rPr>
          <w:rFonts w:hint="eastAsia" w:ascii="方正仿宋_GBK" w:eastAsia="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eastAsia="方正仿宋_GBK"/>
          <w:color w:val="auto"/>
          <w:sz w:val="32"/>
          <w:szCs w:val="32"/>
          <w:highlight w:val="none"/>
        </w:rPr>
        <w:t>申报单位信用良好，申报时未列入国家企业信用信息公示系统中的“严重违法失信企业名单”和国家税务总局“重大税收违法案件信息公布栏”名单</w:t>
      </w:r>
      <w:r>
        <w:rPr>
          <w:rFonts w:hint="eastAsia" w:ascii="方正仿宋_GBK" w:eastAsia="方正仿宋_GBK"/>
          <w:color w:val="auto"/>
          <w:sz w:val="32"/>
          <w:szCs w:val="32"/>
          <w:highlight w:val="none"/>
          <w:lang w:eastAsia="zh-CN"/>
        </w:rPr>
        <w:t>；</w:t>
      </w:r>
    </w:p>
    <w:p>
      <w:pPr>
        <w:autoSpaceDE w:val="0"/>
        <w:spacing w:line="54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lang w:val="en-US" w:eastAsia="zh-CN"/>
        </w:rPr>
        <w:t>6.</w:t>
      </w:r>
      <w:r>
        <w:rPr>
          <w:rFonts w:hint="eastAsia" w:ascii="方正仿宋_GBK" w:eastAsia="方正仿宋_GBK"/>
          <w:color w:val="auto"/>
          <w:sz w:val="32"/>
          <w:szCs w:val="32"/>
          <w:highlight w:val="none"/>
        </w:rPr>
        <w:t>申报融资服务机构专项绩效奖补的，不得同时申报公共服务平台服务绩效奖补或技术创新服务专项绩效奖补。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widowControl/>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根据</w:t>
      </w:r>
      <w:r>
        <w:rPr>
          <w:rFonts w:hint="eastAsia" w:ascii="方正仿宋_GBK" w:eastAsia="方正仿宋_GBK"/>
          <w:color w:val="auto"/>
          <w:sz w:val="32"/>
          <w:szCs w:val="32"/>
          <w:highlight w:val="none"/>
        </w:rPr>
        <w:t>综合评价结果，每年择优支持不超过二十家，单户给予</w:t>
      </w:r>
      <w:r>
        <w:rPr>
          <w:rFonts w:hint="eastAsia" w:ascii="方正仿宋_GBK" w:hAnsi="方正仿宋_GBK" w:eastAsia="方正仿宋_GBK" w:cs="方正仿宋_GBK"/>
          <w:color w:val="auto"/>
          <w:sz w:val="32"/>
          <w:szCs w:val="32"/>
          <w:highlight w:val="none"/>
        </w:rPr>
        <w:t>最高不超过50万元的绩效奖励。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融资服务处</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肖洪春</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63895381</w:t>
      </w:r>
      <w:r>
        <w:rPr>
          <w:rFonts w:hint="eastAsia" w:ascii="方正仿宋_GBK" w:hAnsi="方正仿宋_GBK" w:eastAsia="方正仿宋_GBK" w:cs="方正仿宋_GBK"/>
          <w:color w:val="auto"/>
          <w:sz w:val="32"/>
          <w:szCs w:val="32"/>
          <w:highlight w:val="none"/>
          <w:lang w:eastAsia="zh-CN"/>
        </w:rPr>
        <w:t>。</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详见附件十二。</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val="en-US" w:eastAsia="zh-CN"/>
        </w:rPr>
      </w:pPr>
    </w:p>
    <w:p>
      <w:pPr>
        <w:jc w:val="left"/>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r>
        <w:rPr>
          <w:rFonts w:hint="eastAsia" w:ascii="方正黑体_GBK" w:hAnsi="方正黑体_GBK" w:eastAsia="方正黑体_GBK" w:cs="方正黑体_GBK"/>
          <w:color w:val="auto"/>
          <w:kern w:val="0"/>
          <w:sz w:val="32"/>
          <w:szCs w:val="32"/>
          <w:lang w:eastAsia="zh-CN"/>
        </w:rPr>
        <w:t>附件</w:t>
      </w:r>
    </w:p>
    <w:p>
      <w:pPr>
        <w:spacing w:line="640" w:lineRule="exact"/>
        <w:jc w:val="center"/>
        <w:outlineLvl w:val="0"/>
        <w:rPr>
          <w:rFonts w:hint="eastAsia" w:ascii="方正黑体_GBK" w:hAnsi="方正黑体_GBK" w:eastAsia="方正黑体_GBK" w:cs="方正黑体_GBK"/>
          <w:color w:val="auto"/>
          <w:sz w:val="32"/>
          <w:szCs w:val="32"/>
          <w:highlight w:val="none"/>
          <w:lang w:eastAsia="zh-CN"/>
        </w:rPr>
      </w:pPr>
      <w:r>
        <w:rPr>
          <w:rFonts w:hint="eastAsia" w:ascii="方正黑体_GBK" w:hAnsi="方正黑体_GBK" w:eastAsia="方正黑体_GBK" w:cs="方正黑体_GBK"/>
          <w:color w:val="auto"/>
          <w:sz w:val="32"/>
          <w:szCs w:val="32"/>
          <w:highlight w:val="none"/>
          <w:lang w:eastAsia="zh-CN"/>
        </w:rPr>
        <w:t>十二、</w:t>
      </w:r>
      <w:r>
        <w:rPr>
          <w:rFonts w:hint="eastAsia" w:ascii="方正黑体_GBK" w:hAnsi="方正黑体_GBK" w:eastAsia="方正黑体_GBK" w:cs="方正黑体_GBK"/>
          <w:color w:val="auto"/>
          <w:sz w:val="32"/>
          <w:szCs w:val="32"/>
          <w:highlight w:val="none"/>
        </w:rPr>
        <w:t>重庆市中小企业融资服务专项绩效奖补</w:t>
      </w:r>
      <w:r>
        <w:rPr>
          <w:rFonts w:hint="eastAsia" w:ascii="方正黑体_GBK" w:hAnsi="方正黑体_GBK" w:eastAsia="方正黑体_GBK" w:cs="方正黑体_GBK"/>
          <w:color w:val="auto"/>
          <w:sz w:val="32"/>
          <w:szCs w:val="32"/>
          <w:highlight w:val="none"/>
          <w:lang w:eastAsia="zh-CN"/>
        </w:rPr>
        <w:t>申报材料</w:t>
      </w:r>
    </w:p>
    <w:p>
      <w:pPr>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（一）重庆市融资服务专项绩效奖补申请表（见附件</w:t>
      </w:r>
      <w:r>
        <w:rPr>
          <w:rFonts w:hint="eastAsia" w:ascii="方正仿宋_GBK" w:hAnsi="方正仿宋_GBK" w:eastAsia="方正仿宋_GBK" w:cs="方正仿宋_GBK"/>
          <w:color w:val="auto"/>
          <w:sz w:val="32"/>
          <w:szCs w:val="32"/>
          <w:highlight w:val="none"/>
          <w:lang w:val="en-US" w:eastAsia="zh-CN"/>
        </w:rPr>
        <w:t>2</w:t>
      </w:r>
      <w:r>
        <w:rPr>
          <w:rFonts w:hint="eastAsia" w:ascii="方正仿宋_GBK" w:hAnsi="方正仿宋_GBK" w:eastAsia="方正仿宋_GBK" w:cs="方正仿宋_GBK"/>
          <w:color w:val="auto"/>
          <w:sz w:val="32"/>
          <w:szCs w:val="32"/>
          <w:highlight w:val="none"/>
        </w:rPr>
        <w:t>）；</w:t>
      </w:r>
    </w:p>
    <w:p>
      <w:pPr>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（二）融资服务机构工商营业执照；</w:t>
      </w:r>
    </w:p>
    <w:p>
      <w:pPr>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（三）上年度融资服务机构服务中小企业名单（见附件</w:t>
      </w:r>
      <w:r>
        <w:rPr>
          <w:rFonts w:hint="eastAsia" w:ascii="方正仿宋_GBK" w:hAnsi="方正仿宋_GBK" w:eastAsia="方正仿宋_GBK" w:cs="方正仿宋_GBK"/>
          <w:color w:val="auto"/>
          <w:sz w:val="32"/>
          <w:szCs w:val="32"/>
          <w:highlight w:val="none"/>
          <w:lang w:val="en-US" w:eastAsia="zh-CN"/>
        </w:rPr>
        <w:t>3</w:t>
      </w:r>
      <w:r>
        <w:rPr>
          <w:rFonts w:hint="eastAsia" w:ascii="方正仿宋_GBK" w:hAnsi="方正仿宋_GBK" w:eastAsia="方正仿宋_GBK" w:cs="方正仿宋_GBK"/>
          <w:color w:val="auto"/>
          <w:sz w:val="32"/>
          <w:szCs w:val="32"/>
          <w:highlight w:val="none"/>
        </w:rPr>
        <w:t>）；</w:t>
      </w:r>
    </w:p>
    <w:p>
      <w:pPr>
        <w:widowControl/>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四）上年度开展融资服务活动次数的证明材料，融资服务活动每次接受服务的企业数量应在10户以上（含10户），类型包括融资政策宣讲、培训、投融资对接洽谈等现场服务活动。证明材料包括开展服务活动形成的通知、签到册、影像资料（如会标影像）、总结简报等；</w:t>
      </w:r>
    </w:p>
    <w:p>
      <w:pPr>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（五）上年度帮助企业融资额的证明材料，材料应包括融资服务机构与服务企业的融资合作协议、</w:t>
      </w:r>
      <w:r>
        <w:rPr>
          <w:rFonts w:hint="eastAsia" w:ascii="方正仿宋_GBK" w:hAnsi="方正仿宋_GBK" w:eastAsia="方正仿宋_GBK" w:cs="方正仿宋_GBK"/>
          <w:color w:val="auto"/>
          <w:sz w:val="32"/>
          <w:szCs w:val="32"/>
          <w:highlight w:val="none"/>
          <w:lang w:eastAsia="zh-CN"/>
        </w:rPr>
        <w:t>企业服务确认表、</w:t>
      </w:r>
      <w:r>
        <w:rPr>
          <w:rFonts w:hint="eastAsia" w:ascii="方正仿宋_GBK" w:hAnsi="方正仿宋_GBK" w:eastAsia="方正仿宋_GBK" w:cs="方正仿宋_GBK"/>
          <w:color w:val="auto"/>
          <w:sz w:val="32"/>
          <w:szCs w:val="32"/>
          <w:highlight w:val="none"/>
        </w:rPr>
        <w:t>企业的贷款合同和放款发票复印件；</w:t>
      </w:r>
    </w:p>
    <w:p>
      <w:pPr>
        <w:spacing w:line="54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（六）</w:t>
      </w:r>
      <w:r>
        <w:rPr>
          <w:rFonts w:hint="eastAsia" w:ascii="方正仿宋_GBK" w:hAnsi="宋体" w:eastAsia="方正仿宋_GBK" w:cs="宋体"/>
          <w:color w:val="auto"/>
          <w:kern w:val="0"/>
          <w:sz w:val="32"/>
          <w:szCs w:val="32"/>
          <w:highlight w:val="none"/>
        </w:rPr>
        <w:t>上年度财务及服务业务支出</w:t>
      </w:r>
      <w:r>
        <w:rPr>
          <w:rFonts w:hint="eastAsia" w:ascii="方正仿宋_GBK" w:hAnsi="方正仿宋_GBK" w:eastAsia="方正仿宋_GBK" w:cs="方正仿宋_GBK"/>
          <w:color w:val="auto"/>
          <w:sz w:val="32"/>
          <w:szCs w:val="32"/>
          <w:highlight w:val="none"/>
        </w:rPr>
        <w:t>审计报告；</w:t>
      </w:r>
    </w:p>
    <w:p>
      <w:pPr>
        <w:spacing w:line="54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（七）企业服务情况确认表（见附件</w:t>
      </w:r>
      <w:r>
        <w:rPr>
          <w:rFonts w:hint="eastAsia" w:ascii="方正仿宋_GBK" w:hAnsi="方正仿宋_GBK" w:eastAsia="方正仿宋_GBK" w:cs="方正仿宋_GBK"/>
          <w:color w:val="auto"/>
          <w:sz w:val="32"/>
          <w:szCs w:val="32"/>
          <w:highlight w:val="none"/>
          <w:lang w:val="en-US" w:eastAsia="zh-CN"/>
        </w:rPr>
        <w:t>4</w:t>
      </w:r>
      <w:r>
        <w:rPr>
          <w:rFonts w:hint="eastAsia" w:ascii="方正仿宋_GBK" w:hAnsi="方正仿宋_GBK" w:eastAsia="方正仿宋_GBK" w:cs="方正仿宋_GBK"/>
          <w:color w:val="auto"/>
          <w:sz w:val="32"/>
          <w:szCs w:val="32"/>
          <w:highlight w:val="none"/>
        </w:rPr>
        <w:t>）。</w:t>
      </w:r>
    </w:p>
    <w:p>
      <w:pPr>
        <w:spacing w:line="540" w:lineRule="exact"/>
        <w:ind w:firstLine="640" w:firstLineChars="200"/>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以上材料加盖申报单位鲜章。</w:t>
      </w:r>
    </w:p>
    <w:p>
      <w:pPr>
        <w:spacing w:line="480" w:lineRule="exact"/>
        <w:jc w:val="center"/>
        <w:rPr>
          <w:rFonts w:hint="eastAsia" w:ascii="方正仿宋_GBK" w:hAnsi="方正仿宋_GBK" w:eastAsia="方正仿宋_GBK" w:cs="方正仿宋_GBK"/>
          <w:b w:val="0"/>
          <w:bCs w:val="0"/>
          <w:color w:val="auto"/>
          <w:kern w:val="2"/>
          <w:sz w:val="32"/>
          <w:szCs w:val="32"/>
          <w:highlight w:val="none"/>
          <w:lang w:val="en-US" w:eastAsia="zh-CN" w:bidi="ar-SA"/>
        </w:rPr>
      </w:pPr>
    </w:p>
    <w:p>
      <w:pPr>
        <w:spacing w:line="480" w:lineRule="exact"/>
        <w:ind w:firstLine="640" w:firstLineChars="200"/>
        <w:jc w:val="both"/>
        <w:rPr>
          <w:rFonts w:hint="eastAsia" w:ascii="方正仿宋_GBK" w:hAnsi="方正仿宋_GBK" w:eastAsia="方正仿宋_GBK" w:cs="方正仿宋_GBK"/>
          <w:b w:val="0"/>
          <w:bCs w:val="0"/>
          <w:color w:val="auto"/>
          <w:kern w:val="2"/>
          <w:sz w:val="32"/>
          <w:szCs w:val="32"/>
          <w:highlight w:val="none"/>
          <w:lang w:val="en-US" w:eastAsia="zh-CN" w:bidi="ar-SA"/>
        </w:rPr>
      </w:pPr>
      <w:r>
        <w:rPr>
          <w:rFonts w:hint="eastAsia" w:ascii="方正仿宋_GBK" w:hAnsi="方正仿宋_GBK" w:eastAsia="方正仿宋_GBK" w:cs="方正仿宋_GBK"/>
          <w:b w:val="0"/>
          <w:bCs w:val="0"/>
          <w:color w:val="auto"/>
          <w:kern w:val="2"/>
          <w:sz w:val="32"/>
          <w:szCs w:val="32"/>
          <w:highlight w:val="none"/>
          <w:lang w:val="en-US" w:eastAsia="zh-CN" w:bidi="ar-SA"/>
        </w:rPr>
        <w:t>附件：1.重庆市中小企业融资服务专项绩效奖补评价指标</w:t>
      </w:r>
    </w:p>
    <w:p>
      <w:pPr>
        <w:spacing w:line="480" w:lineRule="exact"/>
        <w:ind w:firstLine="1600" w:firstLineChars="500"/>
        <w:jc w:val="both"/>
        <w:rPr>
          <w:rFonts w:hint="default" w:ascii="方正仿宋_GBK" w:hAnsi="方正仿宋_GBK" w:eastAsia="方正仿宋_GBK" w:cs="方正仿宋_GBK"/>
          <w:b w:val="0"/>
          <w:bCs w:val="0"/>
          <w:color w:val="auto"/>
          <w:kern w:val="2"/>
          <w:sz w:val="32"/>
          <w:szCs w:val="32"/>
          <w:highlight w:val="none"/>
          <w:lang w:val="en-US" w:eastAsia="zh-CN" w:bidi="ar-SA"/>
        </w:rPr>
      </w:pPr>
      <w:r>
        <w:rPr>
          <w:rFonts w:hint="eastAsia" w:ascii="方正仿宋_GBK" w:hAnsi="方正仿宋_GBK" w:eastAsia="方正仿宋_GBK" w:cs="方正仿宋_GBK"/>
          <w:b w:val="0"/>
          <w:bCs w:val="0"/>
          <w:color w:val="auto"/>
          <w:kern w:val="2"/>
          <w:sz w:val="32"/>
          <w:szCs w:val="32"/>
          <w:highlight w:val="none"/>
          <w:lang w:val="en-US" w:eastAsia="zh-CN" w:bidi="ar-SA"/>
        </w:rPr>
        <w:t>2.重庆市中小企业融资服务专项绩效奖补申请表</w:t>
      </w:r>
    </w:p>
    <w:p>
      <w:pPr>
        <w:spacing w:line="480" w:lineRule="exact"/>
        <w:ind w:firstLine="1600" w:firstLineChars="500"/>
        <w:jc w:val="both"/>
        <w:rPr>
          <w:rFonts w:hint="eastAsia" w:ascii="方正仿宋_GBK" w:hAnsi="方正仿宋_GBK" w:eastAsia="方正仿宋_GBK" w:cs="方正仿宋_GBK"/>
          <w:b w:val="0"/>
          <w:bCs w:val="0"/>
          <w:color w:val="auto"/>
          <w:kern w:val="2"/>
          <w:sz w:val="32"/>
          <w:szCs w:val="32"/>
          <w:highlight w:val="none"/>
          <w:lang w:val="en-US" w:eastAsia="zh-CN" w:bidi="ar-SA"/>
        </w:rPr>
      </w:pPr>
      <w:r>
        <w:rPr>
          <w:rFonts w:hint="eastAsia" w:ascii="方正仿宋_GBK" w:hAnsi="方正仿宋_GBK" w:eastAsia="方正仿宋_GBK" w:cs="方正仿宋_GBK"/>
          <w:b w:val="0"/>
          <w:bCs w:val="0"/>
          <w:color w:val="auto"/>
          <w:kern w:val="2"/>
          <w:sz w:val="32"/>
          <w:szCs w:val="32"/>
          <w:highlight w:val="none"/>
          <w:lang w:val="en-US" w:eastAsia="zh-CN" w:bidi="ar-SA"/>
        </w:rPr>
        <w:t>3.年度融资服务机构服务中小企业名单</w:t>
      </w:r>
    </w:p>
    <w:p>
      <w:pPr>
        <w:spacing w:line="480" w:lineRule="exact"/>
        <w:ind w:firstLine="1600" w:firstLineChars="500"/>
        <w:jc w:val="both"/>
        <w:rPr>
          <w:rFonts w:hint="eastAsia" w:ascii="方正仿宋_GBK" w:hAnsi="方正仿宋_GBK" w:eastAsia="方正仿宋_GBK" w:cs="方正仿宋_GBK"/>
          <w:b w:val="0"/>
          <w:bCs w:val="0"/>
          <w:color w:val="auto"/>
          <w:kern w:val="2"/>
          <w:sz w:val="32"/>
          <w:szCs w:val="32"/>
          <w:highlight w:val="none"/>
          <w:lang w:val="en-US" w:eastAsia="zh-CN" w:bidi="ar-SA"/>
        </w:rPr>
      </w:pPr>
      <w:r>
        <w:rPr>
          <w:rFonts w:hint="eastAsia" w:ascii="方正仿宋_GBK" w:hAnsi="方正仿宋_GBK" w:eastAsia="方正仿宋_GBK" w:cs="方正仿宋_GBK"/>
          <w:b w:val="0"/>
          <w:bCs w:val="0"/>
          <w:color w:val="auto"/>
          <w:kern w:val="2"/>
          <w:sz w:val="32"/>
          <w:szCs w:val="32"/>
          <w:highlight w:val="none"/>
          <w:lang w:val="en-US" w:eastAsia="zh-CN" w:bidi="ar-SA"/>
        </w:rPr>
        <w:t>4.年度企业服务情况确认表</w:t>
      </w:r>
    </w:p>
    <w:p>
      <w:pPr>
        <w:pStyle w:val="2"/>
        <w:rPr>
          <w:rFonts w:hint="eastAsia" w:ascii="方正仿宋_GBK" w:hAnsi="方正仿宋_GBK" w:eastAsia="方正仿宋_GBK" w:cs="方正仿宋_GBK"/>
          <w:b w:val="0"/>
          <w:bCs w:val="0"/>
          <w:color w:val="auto"/>
          <w:kern w:val="2"/>
          <w:sz w:val="32"/>
          <w:szCs w:val="32"/>
          <w:highlight w:val="none"/>
          <w:lang w:val="en-US" w:eastAsia="zh-CN" w:bidi="ar-SA"/>
        </w:rPr>
      </w:pPr>
    </w:p>
    <w:p>
      <w:pPr>
        <w:rPr>
          <w:rFonts w:hint="default"/>
          <w:color w:val="auto"/>
          <w:lang w:val="en-US" w:eastAsia="zh-CN"/>
        </w:rPr>
        <w:sectPr>
          <w:headerReference r:id="rId3" w:type="default"/>
          <w:footerReference r:id="rId4"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pPr>
    </w:p>
    <w:p>
      <w:pPr>
        <w:spacing w:line="480" w:lineRule="exact"/>
        <w:jc w:val="both"/>
        <w:rPr>
          <w:rFonts w:hint="eastAsia" w:ascii="方正黑体_GBK" w:hAnsi="方正黑体_GBK" w:eastAsia="方正黑体_GBK" w:cs="方正黑体_GBK"/>
          <w:color w:val="auto"/>
          <w:kern w:val="0"/>
          <w:sz w:val="32"/>
          <w:szCs w:val="32"/>
          <w:highlight w:val="none"/>
          <w:lang w:val="en-US" w:eastAsia="zh-CN"/>
        </w:rPr>
      </w:pPr>
      <w:r>
        <w:rPr>
          <w:rFonts w:hint="eastAsia" w:ascii="方正黑体_GBK" w:hAnsi="方正黑体_GBK" w:eastAsia="方正黑体_GBK" w:cs="方正黑体_GBK"/>
          <w:color w:val="auto"/>
          <w:sz w:val="32"/>
          <w:szCs w:val="32"/>
          <w:highlight w:val="none"/>
        </w:rPr>
        <w:t>附件</w:t>
      </w:r>
      <w:r>
        <w:rPr>
          <w:rFonts w:hint="eastAsia" w:ascii="方正黑体_GBK" w:hAnsi="方正黑体_GBK" w:eastAsia="方正黑体_GBK" w:cs="方正黑体_GBK"/>
          <w:color w:val="auto"/>
          <w:sz w:val="32"/>
          <w:szCs w:val="32"/>
          <w:highlight w:val="none"/>
          <w:lang w:val="en-US" w:eastAsia="zh-CN"/>
        </w:rPr>
        <w:t>1</w:t>
      </w:r>
    </w:p>
    <w:p>
      <w:pPr>
        <w:spacing w:line="480" w:lineRule="exact"/>
        <w:jc w:val="center"/>
        <w:rPr>
          <w:rFonts w:ascii="方正小标宋_GBK" w:hAnsi="华文仿宋" w:eastAsia="方正小标宋_GBK" w:cs="仿宋_GB2312"/>
          <w:color w:val="auto"/>
          <w:sz w:val="32"/>
          <w:szCs w:val="32"/>
          <w:highlight w:val="none"/>
        </w:rPr>
      </w:pPr>
      <w:r>
        <w:rPr>
          <w:rFonts w:hint="eastAsia" w:ascii="方正小标宋_GBK" w:hAnsi="宋体" w:eastAsia="方正小标宋_GBK" w:cs="宋体"/>
          <w:color w:val="auto"/>
          <w:kern w:val="0"/>
          <w:sz w:val="32"/>
          <w:szCs w:val="32"/>
          <w:highlight w:val="none"/>
        </w:rPr>
        <w:t>重庆市中小企业融资服务专项绩效奖补评价指标</w:t>
      </w:r>
    </w:p>
    <w:tbl>
      <w:tblPr>
        <w:tblStyle w:val="5"/>
        <w:tblW w:w="14573" w:type="dxa"/>
        <w:tblInd w:w="-281" w:type="dxa"/>
        <w:tblLayout w:type="fixed"/>
        <w:tblCellMar>
          <w:top w:w="0" w:type="dxa"/>
          <w:left w:w="108" w:type="dxa"/>
          <w:bottom w:w="0" w:type="dxa"/>
          <w:right w:w="108" w:type="dxa"/>
        </w:tblCellMar>
      </w:tblPr>
      <w:tblGrid>
        <w:gridCol w:w="2112"/>
        <w:gridCol w:w="3433"/>
        <w:gridCol w:w="697"/>
        <w:gridCol w:w="4495"/>
        <w:gridCol w:w="1701"/>
        <w:gridCol w:w="2135"/>
      </w:tblGrid>
      <w:tr>
        <w:tblPrEx>
          <w:tblLayout w:type="fixed"/>
          <w:tblCellMar>
            <w:top w:w="0" w:type="dxa"/>
            <w:left w:w="108" w:type="dxa"/>
            <w:bottom w:w="0" w:type="dxa"/>
            <w:right w:w="108" w:type="dxa"/>
          </w:tblCellMar>
        </w:tblPrEx>
        <w:trPr>
          <w:trHeight w:val="382" w:hRule="atLeast"/>
        </w:trPr>
        <w:tc>
          <w:tcPr>
            <w:tcW w:w="14573" w:type="dxa"/>
            <w:gridSpan w:val="6"/>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黑体" w:hAnsi="黑体" w:eastAsia="黑体" w:cs="Tahoma"/>
                <w:color w:val="auto"/>
                <w:kern w:val="0"/>
                <w:sz w:val="21"/>
                <w:szCs w:val="21"/>
                <w:highlight w:val="none"/>
              </w:rPr>
            </w:pPr>
            <w:r>
              <w:rPr>
                <w:rFonts w:hint="eastAsia" w:ascii="黑体" w:hAnsi="黑体" w:eastAsia="黑体" w:cs="Tahoma"/>
                <w:color w:val="auto"/>
                <w:kern w:val="0"/>
                <w:sz w:val="21"/>
                <w:szCs w:val="21"/>
                <w:highlight w:val="none"/>
              </w:rPr>
              <w:t>一、资格条件</w:t>
            </w:r>
          </w:p>
        </w:tc>
      </w:tr>
      <w:tr>
        <w:tblPrEx>
          <w:tblLayout w:type="fixed"/>
          <w:tblCellMar>
            <w:top w:w="0" w:type="dxa"/>
            <w:left w:w="108" w:type="dxa"/>
            <w:bottom w:w="0" w:type="dxa"/>
            <w:right w:w="108" w:type="dxa"/>
          </w:tblCellMar>
        </w:tblPrEx>
        <w:trPr>
          <w:trHeight w:val="259" w:hRule="atLeast"/>
        </w:trPr>
        <w:tc>
          <w:tcPr>
            <w:tcW w:w="12438" w:type="dxa"/>
            <w:gridSpan w:val="5"/>
            <w:tcBorders>
              <w:top w:val="single" w:color="auto" w:sz="4" w:space="0"/>
              <w:left w:val="single" w:color="auto" w:sz="4" w:space="0"/>
              <w:bottom w:val="single" w:color="auto" w:sz="4" w:space="0"/>
              <w:right w:val="single" w:color="auto" w:sz="4" w:space="0"/>
            </w:tcBorders>
            <w:vAlign w:val="center"/>
          </w:tcPr>
          <w:p>
            <w:pPr>
              <w:spacing w:line="240" w:lineRule="auto"/>
              <w:rPr>
                <w:rFonts w:ascii="方正仿宋_GBK" w:hAnsi="华文仿宋" w:eastAsia="方正仿宋_GBK"/>
                <w:bCs/>
                <w:color w:val="auto"/>
                <w:kern w:val="0"/>
                <w:sz w:val="21"/>
                <w:szCs w:val="21"/>
                <w:highlight w:val="none"/>
              </w:rPr>
            </w:pPr>
            <w:r>
              <w:rPr>
                <w:rFonts w:hint="eastAsia" w:ascii="仿宋" w:hAnsi="仿宋" w:eastAsia="仿宋" w:cs="Tahoma"/>
                <w:color w:val="auto"/>
                <w:kern w:val="0"/>
                <w:sz w:val="21"/>
                <w:szCs w:val="21"/>
                <w:highlight w:val="none"/>
              </w:rPr>
              <w:t>1.在重庆市行政区域内注册登记且存续满一年以上，向</w:t>
            </w:r>
            <w:r>
              <w:rPr>
                <w:rFonts w:hint="eastAsia" w:ascii="仿宋" w:hAnsi="仿宋" w:eastAsia="仿宋" w:cs="Tahoma"/>
                <w:color w:val="auto"/>
                <w:kern w:val="0"/>
                <w:sz w:val="21"/>
                <w:szCs w:val="21"/>
                <w:highlight w:val="none"/>
                <w:lang w:eastAsia="zh-CN"/>
              </w:rPr>
              <w:t>市经济信息委</w:t>
            </w:r>
            <w:r>
              <w:rPr>
                <w:rFonts w:hint="eastAsia" w:ascii="仿宋" w:hAnsi="仿宋" w:eastAsia="仿宋" w:cs="Tahoma"/>
                <w:color w:val="auto"/>
                <w:kern w:val="0"/>
                <w:sz w:val="21"/>
                <w:szCs w:val="21"/>
                <w:highlight w:val="none"/>
              </w:rPr>
              <w:t>提交</w:t>
            </w:r>
            <w:r>
              <w:rPr>
                <w:rFonts w:hint="eastAsia" w:ascii="仿宋" w:hAnsi="仿宋" w:eastAsia="仿宋" w:cs="Tahoma"/>
                <w:color w:val="auto"/>
                <w:kern w:val="0"/>
                <w:sz w:val="21"/>
                <w:szCs w:val="21"/>
                <w:highlight w:val="none"/>
                <w:lang w:eastAsia="zh-CN"/>
              </w:rPr>
              <w:t>当年</w:t>
            </w:r>
            <w:r>
              <w:rPr>
                <w:rFonts w:hint="eastAsia" w:ascii="仿宋" w:hAnsi="仿宋" w:eastAsia="仿宋" w:cs="Tahoma"/>
                <w:color w:val="auto"/>
                <w:kern w:val="0"/>
                <w:sz w:val="21"/>
                <w:szCs w:val="21"/>
                <w:highlight w:val="none"/>
              </w:rPr>
              <w:t>年度工作方案的融资服务机构</w:t>
            </w:r>
            <w:r>
              <w:rPr>
                <w:rFonts w:hint="eastAsia" w:ascii="仿宋" w:hAnsi="仿宋" w:eastAsia="仿宋" w:cs="Tahoma"/>
                <w:color w:val="auto"/>
                <w:kern w:val="0"/>
                <w:sz w:val="21"/>
                <w:szCs w:val="21"/>
                <w:highlight w:val="none"/>
                <w:lang w:eastAsia="zh-CN"/>
              </w:rPr>
              <w:t>；</w:t>
            </w:r>
            <w:r>
              <w:rPr>
                <w:rFonts w:hint="eastAsia" w:ascii="仿宋" w:hAnsi="仿宋" w:eastAsia="仿宋" w:cs="Tahoma"/>
                <w:color w:val="auto"/>
                <w:kern w:val="0"/>
                <w:sz w:val="21"/>
                <w:szCs w:val="21"/>
                <w:highlight w:val="none"/>
              </w:rPr>
              <w:t>在重庆市中小企业融资服务平台填报系统网站上注册并按要求定期报送数据；</w:t>
            </w:r>
          </w:p>
        </w:tc>
        <w:tc>
          <w:tcPr>
            <w:tcW w:w="2135" w:type="dxa"/>
            <w:vMerge w:val="restart"/>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有不符合条件之一者，不予奖补。</w:t>
            </w:r>
          </w:p>
        </w:tc>
      </w:tr>
      <w:tr>
        <w:tblPrEx>
          <w:tblLayout w:type="fixed"/>
          <w:tblCellMar>
            <w:top w:w="0" w:type="dxa"/>
            <w:left w:w="108" w:type="dxa"/>
            <w:bottom w:w="0" w:type="dxa"/>
            <w:right w:w="108" w:type="dxa"/>
          </w:tblCellMar>
        </w:tblPrEx>
        <w:trPr>
          <w:trHeight w:val="652" w:hRule="atLeast"/>
        </w:trPr>
        <w:tc>
          <w:tcPr>
            <w:tcW w:w="12438" w:type="dxa"/>
            <w:gridSpan w:val="5"/>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2.主要为中小企业提供融资服务，服务业绩突出，上年度服务重庆市内的中小企业</w:t>
            </w:r>
            <w:r>
              <w:rPr>
                <w:rFonts w:hint="eastAsia" w:ascii="仿宋" w:hAnsi="仿宋" w:eastAsia="仿宋" w:cs="Tahoma"/>
                <w:color w:val="auto"/>
                <w:kern w:val="0"/>
                <w:sz w:val="21"/>
                <w:szCs w:val="21"/>
                <w:highlight w:val="none"/>
                <w:lang w:val="en-US" w:eastAsia="zh-CN"/>
              </w:rPr>
              <w:t>10</w:t>
            </w:r>
            <w:r>
              <w:rPr>
                <w:rFonts w:hint="eastAsia" w:ascii="仿宋" w:hAnsi="仿宋" w:eastAsia="仿宋" w:cs="Tahoma"/>
                <w:color w:val="auto"/>
                <w:kern w:val="0"/>
                <w:sz w:val="21"/>
                <w:szCs w:val="21"/>
                <w:highlight w:val="none"/>
              </w:rPr>
              <w:t>0户以上，开展各类融资服务活动10次以上，帮助企业融资总额5000万元以上，服务满意度达到80%以上；</w:t>
            </w:r>
          </w:p>
        </w:tc>
        <w:tc>
          <w:tcPr>
            <w:tcW w:w="2135" w:type="dxa"/>
            <w:vMerge w:val="continue"/>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p>
        </w:tc>
      </w:tr>
      <w:tr>
        <w:tblPrEx>
          <w:tblLayout w:type="fixed"/>
          <w:tblCellMar>
            <w:top w:w="0" w:type="dxa"/>
            <w:left w:w="108" w:type="dxa"/>
            <w:bottom w:w="0" w:type="dxa"/>
            <w:right w:w="108" w:type="dxa"/>
          </w:tblCellMar>
        </w:tblPrEx>
        <w:trPr>
          <w:trHeight w:val="605" w:hRule="atLeast"/>
        </w:trPr>
        <w:tc>
          <w:tcPr>
            <w:tcW w:w="12438"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3.上年度服务性支出（包括融资服务机构的员工工资、社会保险、差旅费、办公费用等服务成本支出和为改善服务环境、提高服务能力所发生的服务场所装修改造、服务设施设备购买等能力建设投入）50万元以上；</w:t>
            </w:r>
          </w:p>
        </w:tc>
        <w:tc>
          <w:tcPr>
            <w:tcW w:w="2135" w:type="dxa"/>
            <w:vMerge w:val="continue"/>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p>
        </w:tc>
      </w:tr>
      <w:tr>
        <w:tblPrEx>
          <w:tblLayout w:type="fixed"/>
          <w:tblCellMar>
            <w:top w:w="0" w:type="dxa"/>
            <w:left w:w="108" w:type="dxa"/>
            <w:bottom w:w="0" w:type="dxa"/>
            <w:right w:w="108" w:type="dxa"/>
          </w:tblCellMar>
        </w:tblPrEx>
        <w:trPr>
          <w:trHeight w:val="267" w:hRule="atLeast"/>
        </w:trPr>
        <w:tc>
          <w:tcPr>
            <w:tcW w:w="12438" w:type="dxa"/>
            <w:gridSpan w:val="5"/>
            <w:tcBorders>
              <w:top w:val="single" w:color="auto" w:sz="4" w:space="0"/>
              <w:left w:val="single" w:color="auto" w:sz="4" w:space="0"/>
              <w:bottom w:val="single" w:color="auto" w:sz="4" w:space="0"/>
              <w:right w:val="single" w:color="auto" w:sz="4" w:space="0"/>
            </w:tcBorders>
            <w:vAlign w:val="center"/>
          </w:tcPr>
          <w:p>
            <w:pPr>
              <w:autoSpaceDE w:val="0"/>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4.申报单位信用良好，申报时未列入国家企业信用信息公示系统中的“严重违法失信企业名单”和国家税务总局“重大税收违法案件信息公布栏”名单。</w:t>
            </w:r>
          </w:p>
        </w:tc>
        <w:tc>
          <w:tcPr>
            <w:tcW w:w="2135" w:type="dxa"/>
            <w:vMerge w:val="continue"/>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p>
        </w:tc>
      </w:tr>
      <w:tr>
        <w:tblPrEx>
          <w:tblLayout w:type="fixed"/>
          <w:tblCellMar>
            <w:top w:w="0" w:type="dxa"/>
            <w:left w:w="108" w:type="dxa"/>
            <w:bottom w:w="0" w:type="dxa"/>
            <w:right w:w="108" w:type="dxa"/>
          </w:tblCellMar>
        </w:tblPrEx>
        <w:trPr>
          <w:trHeight w:val="413" w:hRule="atLeast"/>
        </w:trPr>
        <w:tc>
          <w:tcPr>
            <w:tcW w:w="14573" w:type="dxa"/>
            <w:gridSpan w:val="6"/>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黑体" w:hAnsi="黑体" w:eastAsia="黑体" w:cs="Tahoma"/>
                <w:color w:val="auto"/>
                <w:kern w:val="0"/>
                <w:sz w:val="21"/>
                <w:szCs w:val="21"/>
                <w:highlight w:val="none"/>
              </w:rPr>
            </w:pPr>
            <w:r>
              <w:rPr>
                <w:rFonts w:hint="eastAsia" w:ascii="黑体" w:hAnsi="黑体" w:eastAsia="黑体" w:cs="Tahoma"/>
                <w:color w:val="auto"/>
                <w:kern w:val="0"/>
                <w:sz w:val="21"/>
                <w:szCs w:val="21"/>
                <w:highlight w:val="none"/>
              </w:rPr>
              <w:t>二、绩效评价指标</w:t>
            </w:r>
          </w:p>
        </w:tc>
      </w:tr>
      <w:tr>
        <w:tblPrEx>
          <w:tblLayout w:type="fixed"/>
          <w:tblCellMar>
            <w:top w:w="0" w:type="dxa"/>
            <w:left w:w="108" w:type="dxa"/>
            <w:bottom w:w="0" w:type="dxa"/>
            <w:right w:w="108" w:type="dxa"/>
          </w:tblCellMar>
        </w:tblPrEx>
        <w:trPr>
          <w:trHeight w:val="329" w:hRule="atLeast"/>
        </w:trPr>
        <w:tc>
          <w:tcPr>
            <w:tcW w:w="2112" w:type="dxa"/>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b/>
                <w:color w:val="auto"/>
                <w:kern w:val="0"/>
                <w:sz w:val="21"/>
                <w:szCs w:val="21"/>
                <w:highlight w:val="none"/>
              </w:rPr>
            </w:pPr>
            <w:r>
              <w:rPr>
                <w:rFonts w:hint="eastAsia" w:ascii="仿宋" w:hAnsi="仿宋" w:eastAsia="仿宋" w:cs="Tahoma"/>
                <w:b/>
                <w:color w:val="auto"/>
                <w:kern w:val="0"/>
                <w:sz w:val="21"/>
                <w:szCs w:val="21"/>
                <w:highlight w:val="none"/>
              </w:rPr>
              <w:t>考核指标</w:t>
            </w:r>
          </w:p>
        </w:tc>
        <w:tc>
          <w:tcPr>
            <w:tcW w:w="3433"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b/>
                <w:color w:val="auto"/>
                <w:kern w:val="0"/>
                <w:sz w:val="21"/>
                <w:szCs w:val="21"/>
                <w:highlight w:val="none"/>
              </w:rPr>
            </w:pPr>
            <w:r>
              <w:rPr>
                <w:rFonts w:hint="eastAsia" w:ascii="仿宋" w:hAnsi="仿宋" w:eastAsia="仿宋" w:cs="Tahoma"/>
                <w:b/>
                <w:color w:val="auto"/>
                <w:kern w:val="0"/>
                <w:sz w:val="21"/>
                <w:szCs w:val="21"/>
                <w:highlight w:val="none"/>
              </w:rPr>
              <w:t>指标内容</w:t>
            </w:r>
          </w:p>
        </w:tc>
        <w:tc>
          <w:tcPr>
            <w:tcW w:w="697"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b/>
                <w:color w:val="auto"/>
                <w:kern w:val="0"/>
                <w:sz w:val="21"/>
                <w:szCs w:val="21"/>
                <w:highlight w:val="none"/>
              </w:rPr>
            </w:pPr>
            <w:r>
              <w:rPr>
                <w:rFonts w:hint="eastAsia" w:ascii="仿宋" w:hAnsi="仿宋" w:eastAsia="仿宋" w:cs="Tahoma"/>
                <w:b/>
                <w:color w:val="auto"/>
                <w:kern w:val="0"/>
                <w:sz w:val="21"/>
                <w:szCs w:val="21"/>
                <w:highlight w:val="none"/>
              </w:rPr>
              <w:t>分值</w:t>
            </w:r>
          </w:p>
        </w:tc>
        <w:tc>
          <w:tcPr>
            <w:tcW w:w="4495"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b/>
                <w:color w:val="auto"/>
                <w:kern w:val="0"/>
                <w:sz w:val="21"/>
                <w:szCs w:val="21"/>
                <w:highlight w:val="none"/>
              </w:rPr>
            </w:pPr>
            <w:r>
              <w:rPr>
                <w:rFonts w:hint="eastAsia" w:ascii="仿宋" w:hAnsi="仿宋" w:eastAsia="仿宋" w:cs="Tahoma"/>
                <w:b/>
                <w:color w:val="auto"/>
                <w:kern w:val="0"/>
                <w:sz w:val="21"/>
                <w:szCs w:val="21"/>
                <w:highlight w:val="none"/>
              </w:rPr>
              <w:t>评分标准</w:t>
            </w:r>
          </w:p>
        </w:tc>
        <w:tc>
          <w:tcPr>
            <w:tcW w:w="3836" w:type="dxa"/>
            <w:gridSpan w:val="2"/>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b/>
                <w:color w:val="auto"/>
                <w:kern w:val="0"/>
                <w:sz w:val="21"/>
                <w:szCs w:val="21"/>
                <w:highlight w:val="none"/>
              </w:rPr>
            </w:pPr>
            <w:r>
              <w:rPr>
                <w:rFonts w:hint="eastAsia" w:ascii="仿宋" w:hAnsi="仿宋" w:eastAsia="仿宋" w:cs="Tahoma"/>
                <w:b/>
                <w:color w:val="auto"/>
                <w:kern w:val="0"/>
                <w:sz w:val="21"/>
                <w:szCs w:val="21"/>
                <w:highlight w:val="none"/>
              </w:rPr>
              <w:t>佐证材料</w:t>
            </w:r>
          </w:p>
        </w:tc>
      </w:tr>
      <w:tr>
        <w:tblPrEx>
          <w:tblLayout w:type="fixed"/>
          <w:tblCellMar>
            <w:top w:w="0" w:type="dxa"/>
            <w:left w:w="108" w:type="dxa"/>
            <w:bottom w:w="0" w:type="dxa"/>
            <w:right w:w="108" w:type="dxa"/>
          </w:tblCellMar>
        </w:tblPrEx>
        <w:trPr>
          <w:trHeight w:val="667" w:hRule="atLeast"/>
        </w:trPr>
        <w:tc>
          <w:tcPr>
            <w:tcW w:w="2112" w:type="dxa"/>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上年度服务中小企业户数</w:t>
            </w:r>
          </w:p>
        </w:tc>
        <w:tc>
          <w:tcPr>
            <w:tcW w:w="3433"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上年度融资服务的中小企业数量。</w:t>
            </w:r>
          </w:p>
        </w:tc>
        <w:tc>
          <w:tcPr>
            <w:tcW w:w="697" w:type="dxa"/>
            <w:tcBorders>
              <w:top w:val="nil"/>
              <w:left w:val="nil"/>
              <w:bottom w:val="single" w:color="auto" w:sz="4" w:space="0"/>
              <w:right w:val="single" w:color="auto" w:sz="4" w:space="0"/>
            </w:tcBorders>
            <w:vAlign w:val="center"/>
          </w:tcPr>
          <w:p>
            <w:pPr>
              <w:widowControl/>
              <w:spacing w:line="240" w:lineRule="exact"/>
              <w:rPr>
                <w:rFonts w:hint="default" w:ascii="仿宋" w:hAnsi="仿宋" w:eastAsia="仿宋" w:cs="Tahoma"/>
                <w:color w:val="auto"/>
                <w:kern w:val="0"/>
                <w:sz w:val="21"/>
                <w:szCs w:val="21"/>
                <w:highlight w:val="none"/>
                <w:lang w:val="en-US" w:eastAsia="zh-CN"/>
              </w:rPr>
            </w:pPr>
            <w:r>
              <w:rPr>
                <w:rFonts w:hint="eastAsia" w:ascii="仿宋" w:hAnsi="仿宋" w:eastAsia="仿宋" w:cs="Tahoma"/>
                <w:color w:val="auto"/>
                <w:kern w:val="0"/>
                <w:sz w:val="21"/>
                <w:szCs w:val="21"/>
                <w:highlight w:val="none"/>
                <w:lang w:val="en-US" w:eastAsia="zh-CN"/>
              </w:rPr>
              <w:t>30</w:t>
            </w:r>
          </w:p>
        </w:tc>
        <w:tc>
          <w:tcPr>
            <w:tcW w:w="4495" w:type="dxa"/>
            <w:tcBorders>
              <w:top w:val="single" w:color="auto" w:sz="4" w:space="0"/>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lang w:val="en-US" w:eastAsia="zh-CN"/>
              </w:rPr>
              <w:t>10</w:t>
            </w:r>
            <w:r>
              <w:rPr>
                <w:rFonts w:hint="eastAsia" w:ascii="仿宋" w:hAnsi="仿宋" w:eastAsia="仿宋" w:cs="Tahoma"/>
                <w:color w:val="auto"/>
                <w:kern w:val="0"/>
                <w:sz w:val="21"/>
                <w:szCs w:val="21"/>
                <w:highlight w:val="none"/>
              </w:rPr>
              <w:t>0户（含）以上得</w:t>
            </w:r>
            <w:r>
              <w:rPr>
                <w:rFonts w:hint="eastAsia" w:ascii="仿宋" w:hAnsi="仿宋" w:eastAsia="仿宋" w:cs="Tahoma"/>
                <w:color w:val="auto"/>
                <w:kern w:val="0"/>
                <w:sz w:val="21"/>
                <w:szCs w:val="21"/>
                <w:highlight w:val="none"/>
                <w:lang w:val="en-US" w:eastAsia="zh-CN"/>
              </w:rPr>
              <w:t>20</w:t>
            </w:r>
            <w:r>
              <w:rPr>
                <w:rFonts w:hint="eastAsia" w:ascii="仿宋" w:hAnsi="仿宋" w:eastAsia="仿宋" w:cs="Tahoma"/>
                <w:color w:val="auto"/>
                <w:kern w:val="0"/>
                <w:sz w:val="21"/>
                <w:szCs w:val="21"/>
                <w:highlight w:val="none"/>
              </w:rPr>
              <w:t>分，不满</w:t>
            </w:r>
            <w:r>
              <w:rPr>
                <w:rFonts w:hint="eastAsia" w:ascii="仿宋" w:hAnsi="仿宋" w:eastAsia="仿宋" w:cs="Tahoma"/>
                <w:color w:val="auto"/>
                <w:kern w:val="0"/>
                <w:sz w:val="21"/>
                <w:szCs w:val="21"/>
                <w:highlight w:val="none"/>
                <w:lang w:val="en-US" w:eastAsia="zh-CN"/>
              </w:rPr>
              <w:t>10</w:t>
            </w:r>
            <w:r>
              <w:rPr>
                <w:rFonts w:hint="eastAsia" w:ascii="仿宋" w:hAnsi="仿宋" w:eastAsia="仿宋" w:cs="Tahoma"/>
                <w:color w:val="auto"/>
                <w:kern w:val="0"/>
                <w:sz w:val="21"/>
                <w:szCs w:val="21"/>
                <w:highlight w:val="none"/>
              </w:rPr>
              <w:t>0户不得分，</w:t>
            </w:r>
            <w:r>
              <w:rPr>
                <w:rFonts w:hint="eastAsia" w:ascii="仿宋" w:hAnsi="仿宋" w:eastAsia="仿宋" w:cs="Tahoma"/>
                <w:color w:val="auto"/>
                <w:kern w:val="0"/>
                <w:sz w:val="21"/>
                <w:szCs w:val="21"/>
                <w:highlight w:val="none"/>
                <w:lang w:val="en-US" w:eastAsia="zh-CN"/>
              </w:rPr>
              <w:t>10</w:t>
            </w:r>
            <w:r>
              <w:rPr>
                <w:rFonts w:hint="eastAsia" w:ascii="仿宋" w:hAnsi="仿宋" w:eastAsia="仿宋" w:cs="Tahoma"/>
                <w:color w:val="auto"/>
                <w:kern w:val="0"/>
                <w:sz w:val="21"/>
                <w:szCs w:val="21"/>
                <w:highlight w:val="none"/>
              </w:rPr>
              <w:t>0户以上每增加1户加0.05分，最高不超过5分。以上合计最高不超过</w:t>
            </w:r>
            <w:r>
              <w:rPr>
                <w:rFonts w:hint="eastAsia" w:ascii="仿宋" w:hAnsi="仿宋" w:eastAsia="仿宋" w:cs="Tahoma"/>
                <w:color w:val="auto"/>
                <w:kern w:val="0"/>
                <w:sz w:val="21"/>
                <w:szCs w:val="21"/>
                <w:highlight w:val="none"/>
                <w:lang w:val="en-US" w:eastAsia="zh-CN"/>
              </w:rPr>
              <w:t>30</w:t>
            </w:r>
            <w:r>
              <w:rPr>
                <w:rFonts w:hint="eastAsia" w:ascii="仿宋" w:hAnsi="仿宋" w:eastAsia="仿宋" w:cs="Tahoma"/>
                <w:color w:val="auto"/>
                <w:kern w:val="0"/>
                <w:sz w:val="21"/>
                <w:szCs w:val="21"/>
                <w:highlight w:val="none"/>
              </w:rPr>
              <w:t>分。</w:t>
            </w:r>
          </w:p>
        </w:tc>
        <w:tc>
          <w:tcPr>
            <w:tcW w:w="3836" w:type="dxa"/>
            <w:gridSpan w:val="2"/>
            <w:tcBorders>
              <w:top w:val="nil"/>
              <w:left w:val="nil"/>
              <w:bottom w:val="single" w:color="auto" w:sz="4" w:space="0"/>
              <w:right w:val="single" w:color="auto" w:sz="4" w:space="0"/>
            </w:tcBorders>
            <w:vAlign w:val="center"/>
          </w:tcPr>
          <w:p>
            <w:pPr>
              <w:spacing w:line="240" w:lineRule="exact"/>
              <w:rPr>
                <w:rFonts w:hint="eastAsia" w:ascii="仿宋" w:hAnsi="仿宋" w:eastAsia="仿宋" w:cs="Tahoma"/>
                <w:color w:val="auto"/>
                <w:kern w:val="0"/>
                <w:sz w:val="21"/>
                <w:szCs w:val="21"/>
                <w:highlight w:val="none"/>
                <w:lang w:eastAsia="zh-CN"/>
              </w:rPr>
            </w:pPr>
            <w:r>
              <w:rPr>
                <w:rFonts w:hint="eastAsia" w:ascii="仿宋" w:hAnsi="仿宋" w:eastAsia="仿宋" w:cs="Tahoma"/>
                <w:color w:val="auto"/>
                <w:kern w:val="0"/>
                <w:sz w:val="21"/>
                <w:szCs w:val="21"/>
                <w:highlight w:val="none"/>
              </w:rPr>
              <w:t>融资服务机构服务中小企业名单</w:t>
            </w:r>
            <w:r>
              <w:rPr>
                <w:rFonts w:hint="eastAsia" w:ascii="仿宋" w:hAnsi="仿宋" w:eastAsia="仿宋" w:cs="Tahoma"/>
                <w:color w:val="auto"/>
                <w:kern w:val="0"/>
                <w:sz w:val="21"/>
                <w:szCs w:val="21"/>
                <w:highlight w:val="none"/>
                <w:lang w:eastAsia="zh-CN"/>
              </w:rPr>
              <w:t>和</w:t>
            </w:r>
            <w:r>
              <w:rPr>
                <w:rFonts w:hint="eastAsia" w:ascii="仿宋" w:hAnsi="仿宋" w:eastAsia="仿宋" w:cs="Tahoma"/>
                <w:color w:val="auto"/>
                <w:kern w:val="0"/>
                <w:sz w:val="21"/>
                <w:szCs w:val="21"/>
                <w:highlight w:val="none"/>
              </w:rPr>
              <w:t>企业服务情况确认表</w:t>
            </w:r>
            <w:r>
              <w:rPr>
                <w:rFonts w:hint="eastAsia" w:ascii="仿宋" w:hAnsi="仿宋" w:eastAsia="仿宋" w:cs="Tahoma"/>
                <w:color w:val="auto"/>
                <w:kern w:val="0"/>
                <w:sz w:val="21"/>
                <w:szCs w:val="21"/>
                <w:highlight w:val="none"/>
                <w:lang w:eastAsia="zh-CN"/>
              </w:rPr>
              <w:t>。</w:t>
            </w:r>
          </w:p>
        </w:tc>
      </w:tr>
      <w:tr>
        <w:tblPrEx>
          <w:tblLayout w:type="fixed"/>
          <w:tblCellMar>
            <w:top w:w="0" w:type="dxa"/>
            <w:left w:w="108" w:type="dxa"/>
            <w:bottom w:w="0" w:type="dxa"/>
            <w:right w:w="108" w:type="dxa"/>
          </w:tblCellMar>
        </w:tblPrEx>
        <w:trPr>
          <w:trHeight w:val="849" w:hRule="atLeast"/>
        </w:trPr>
        <w:tc>
          <w:tcPr>
            <w:tcW w:w="2112" w:type="dxa"/>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上年度开展融资服务活动次数</w:t>
            </w:r>
          </w:p>
        </w:tc>
        <w:tc>
          <w:tcPr>
            <w:tcW w:w="3433"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00" w:lineRule="exact"/>
              <w:textAlignment w:val="auto"/>
              <w:outlineLvl w:val="9"/>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融资服务机构组织开展的每次接受服务的企业超过10户（含10户）的融资政策宣讲、培训、投融资对接洽谈等现场服务活动。</w:t>
            </w:r>
          </w:p>
        </w:tc>
        <w:tc>
          <w:tcPr>
            <w:tcW w:w="697"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30</w:t>
            </w:r>
          </w:p>
        </w:tc>
        <w:tc>
          <w:tcPr>
            <w:tcW w:w="4495" w:type="dxa"/>
            <w:tcBorders>
              <w:top w:val="single" w:color="auto" w:sz="4" w:space="0"/>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10次（含）以上得</w:t>
            </w:r>
            <w:r>
              <w:rPr>
                <w:rFonts w:hint="eastAsia" w:ascii="仿宋" w:hAnsi="仿宋" w:eastAsia="仿宋" w:cs="Tahoma"/>
                <w:color w:val="auto"/>
                <w:kern w:val="0"/>
                <w:sz w:val="21"/>
                <w:szCs w:val="21"/>
                <w:highlight w:val="none"/>
                <w:lang w:val="en-US" w:eastAsia="zh-CN"/>
              </w:rPr>
              <w:t>20</w:t>
            </w:r>
            <w:r>
              <w:rPr>
                <w:rFonts w:hint="eastAsia" w:ascii="仿宋" w:hAnsi="仿宋" w:eastAsia="仿宋" w:cs="Tahoma"/>
                <w:color w:val="auto"/>
                <w:kern w:val="0"/>
                <w:sz w:val="21"/>
                <w:szCs w:val="21"/>
                <w:highlight w:val="none"/>
              </w:rPr>
              <w:t>分，不满10次不得分，10次以上每增加1次加1分，最高不超过30分。</w:t>
            </w:r>
          </w:p>
        </w:tc>
        <w:tc>
          <w:tcPr>
            <w:tcW w:w="3836" w:type="dxa"/>
            <w:gridSpan w:val="2"/>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00" w:lineRule="exact"/>
              <w:textAlignment w:val="auto"/>
              <w:outlineLvl w:val="9"/>
              <w:rPr>
                <w:rFonts w:ascii="仿宋" w:hAnsi="仿宋" w:eastAsia="仿宋" w:cs="Tahoma"/>
                <w:color w:val="auto"/>
                <w:kern w:val="0"/>
                <w:sz w:val="21"/>
                <w:szCs w:val="21"/>
                <w:highlight w:val="none"/>
              </w:rPr>
            </w:pPr>
            <w:r>
              <w:rPr>
                <w:rFonts w:hint="eastAsia" w:ascii="仿宋" w:hAnsi="仿宋" w:eastAsia="仿宋" w:cs="仿宋"/>
                <w:color w:val="auto"/>
                <w:kern w:val="0"/>
                <w:sz w:val="21"/>
                <w:szCs w:val="21"/>
                <w:highlight w:val="none"/>
              </w:rPr>
              <w:t>服务</w:t>
            </w:r>
            <w:r>
              <w:rPr>
                <w:rFonts w:hint="eastAsia" w:ascii="仿宋" w:hAnsi="仿宋" w:eastAsia="仿宋" w:cs="仿宋"/>
                <w:color w:val="auto"/>
                <w:kern w:val="0"/>
                <w:sz w:val="21"/>
                <w:szCs w:val="21"/>
                <w:highlight w:val="none"/>
                <w:lang w:eastAsia="zh-CN"/>
              </w:rPr>
              <w:t>活动须</w:t>
            </w:r>
            <w:r>
              <w:rPr>
                <w:rFonts w:hint="eastAsia" w:ascii="仿宋" w:hAnsi="仿宋" w:eastAsia="仿宋" w:cs="仿宋"/>
                <w:color w:val="auto"/>
                <w:kern w:val="0"/>
                <w:sz w:val="21"/>
                <w:szCs w:val="21"/>
                <w:highlight w:val="none"/>
              </w:rPr>
              <w:t>通过重庆市中小企业公共服务平</w:t>
            </w:r>
            <w:r>
              <w:rPr>
                <w:rFonts w:hint="eastAsia" w:ascii="仿宋" w:hAnsi="仿宋" w:eastAsia="仿宋" w:cs="仿宋"/>
                <w:color w:val="auto"/>
                <w:kern w:val="0"/>
                <w:sz w:val="21"/>
                <w:szCs w:val="21"/>
                <w:highlight w:val="none"/>
                <w:lang w:eastAsia="zh-CN"/>
              </w:rPr>
              <w:t>台</w:t>
            </w:r>
            <w:r>
              <w:rPr>
                <w:rFonts w:hint="eastAsia" w:ascii="仿宋" w:hAnsi="仿宋" w:eastAsia="仿宋" w:cs="仿宋"/>
                <w:color w:val="auto"/>
                <w:kern w:val="0"/>
                <w:sz w:val="21"/>
                <w:szCs w:val="21"/>
                <w:highlight w:val="none"/>
              </w:rPr>
              <w:t>系统申报，登录系统打印服务</w:t>
            </w:r>
            <w:r>
              <w:rPr>
                <w:rFonts w:hint="eastAsia" w:ascii="仿宋" w:hAnsi="仿宋" w:eastAsia="仿宋" w:cs="仿宋"/>
                <w:color w:val="auto"/>
                <w:kern w:val="0"/>
                <w:sz w:val="21"/>
                <w:szCs w:val="21"/>
                <w:highlight w:val="none"/>
                <w:lang w:eastAsia="zh-CN"/>
              </w:rPr>
              <w:t>工作</w:t>
            </w:r>
            <w:r>
              <w:rPr>
                <w:rFonts w:hint="eastAsia" w:ascii="仿宋" w:hAnsi="仿宋" w:eastAsia="仿宋" w:cs="仿宋"/>
                <w:color w:val="auto"/>
                <w:kern w:val="0"/>
                <w:sz w:val="21"/>
                <w:szCs w:val="21"/>
                <w:highlight w:val="none"/>
              </w:rPr>
              <w:t>开展证明。</w:t>
            </w:r>
          </w:p>
        </w:tc>
      </w:tr>
      <w:tr>
        <w:tblPrEx>
          <w:tblLayout w:type="fixed"/>
          <w:tblCellMar>
            <w:top w:w="0" w:type="dxa"/>
            <w:left w:w="108" w:type="dxa"/>
            <w:bottom w:w="0" w:type="dxa"/>
            <w:right w:w="108" w:type="dxa"/>
          </w:tblCellMar>
        </w:tblPrEx>
        <w:trPr>
          <w:trHeight w:val="634" w:hRule="atLeast"/>
        </w:trPr>
        <w:tc>
          <w:tcPr>
            <w:tcW w:w="2112" w:type="dxa"/>
            <w:tcBorders>
              <w:top w:val="nil"/>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上年度帮助中小企业融资总额</w:t>
            </w:r>
          </w:p>
        </w:tc>
        <w:tc>
          <w:tcPr>
            <w:tcW w:w="3433"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上年度通过融资服务帮助中小企业获得银行融资、风险投资、产业引导基金投资、私募融资的金额总和。</w:t>
            </w:r>
          </w:p>
        </w:tc>
        <w:tc>
          <w:tcPr>
            <w:tcW w:w="697" w:type="dxa"/>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30</w:t>
            </w:r>
          </w:p>
        </w:tc>
        <w:tc>
          <w:tcPr>
            <w:tcW w:w="4495" w:type="dxa"/>
            <w:tcBorders>
              <w:top w:val="single" w:color="auto" w:sz="4" w:space="0"/>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5000万元（含）以上得</w:t>
            </w:r>
            <w:r>
              <w:rPr>
                <w:rFonts w:hint="eastAsia" w:ascii="仿宋" w:hAnsi="仿宋" w:eastAsia="仿宋" w:cs="Tahoma"/>
                <w:color w:val="auto"/>
                <w:kern w:val="0"/>
                <w:sz w:val="21"/>
                <w:szCs w:val="21"/>
                <w:highlight w:val="none"/>
                <w:lang w:val="en-US" w:eastAsia="zh-CN"/>
              </w:rPr>
              <w:t>20</w:t>
            </w:r>
            <w:r>
              <w:rPr>
                <w:rFonts w:hint="eastAsia" w:ascii="仿宋" w:hAnsi="仿宋" w:eastAsia="仿宋" w:cs="Tahoma"/>
                <w:color w:val="auto"/>
                <w:kern w:val="0"/>
                <w:sz w:val="21"/>
                <w:szCs w:val="21"/>
                <w:highlight w:val="none"/>
              </w:rPr>
              <w:t>分，不满5000万元不得分，5000万元以上每增加1000万元加1分，最高不超过30分。</w:t>
            </w:r>
          </w:p>
        </w:tc>
        <w:tc>
          <w:tcPr>
            <w:tcW w:w="3836" w:type="dxa"/>
            <w:gridSpan w:val="2"/>
            <w:tcBorders>
              <w:top w:val="nil"/>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融资服务机构与服务企业的融资合作协议、</w:t>
            </w:r>
            <w:r>
              <w:rPr>
                <w:rFonts w:hint="eastAsia" w:ascii="仿宋" w:hAnsi="仿宋" w:eastAsia="仿宋" w:cs="Tahoma"/>
                <w:color w:val="auto"/>
                <w:kern w:val="0"/>
                <w:sz w:val="21"/>
                <w:szCs w:val="21"/>
                <w:highlight w:val="none"/>
                <w:lang w:eastAsia="zh-CN"/>
              </w:rPr>
              <w:t>企业服务确认表、</w:t>
            </w:r>
            <w:r>
              <w:rPr>
                <w:rFonts w:hint="eastAsia" w:ascii="仿宋" w:hAnsi="仿宋" w:eastAsia="仿宋" w:cs="Tahoma"/>
                <w:color w:val="auto"/>
                <w:kern w:val="0"/>
                <w:sz w:val="21"/>
                <w:szCs w:val="21"/>
                <w:highlight w:val="none"/>
              </w:rPr>
              <w:t>企业的贷款合同和放款发票复印件</w:t>
            </w:r>
          </w:p>
        </w:tc>
      </w:tr>
      <w:tr>
        <w:tblPrEx>
          <w:tblLayout w:type="fixed"/>
          <w:tblCellMar>
            <w:top w:w="0" w:type="dxa"/>
            <w:left w:w="108" w:type="dxa"/>
            <w:bottom w:w="0" w:type="dxa"/>
            <w:right w:w="108" w:type="dxa"/>
          </w:tblCellMar>
        </w:tblPrEx>
        <w:trPr>
          <w:trHeight w:val="666" w:hRule="atLeast"/>
        </w:trPr>
        <w:tc>
          <w:tcPr>
            <w:tcW w:w="21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上年度服务满意度</w:t>
            </w:r>
          </w:p>
        </w:tc>
        <w:tc>
          <w:tcPr>
            <w:tcW w:w="3433" w:type="dxa"/>
            <w:tcBorders>
              <w:top w:val="single" w:color="auto" w:sz="4" w:space="0"/>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接受融资服务的企业对服务平台所提供服务的满意程度。</w:t>
            </w:r>
          </w:p>
        </w:tc>
        <w:tc>
          <w:tcPr>
            <w:tcW w:w="697" w:type="dxa"/>
            <w:tcBorders>
              <w:top w:val="single" w:color="auto" w:sz="4" w:space="0"/>
              <w:left w:val="nil"/>
              <w:bottom w:val="single" w:color="auto" w:sz="4" w:space="0"/>
              <w:right w:val="single" w:color="auto" w:sz="4" w:space="0"/>
            </w:tcBorders>
            <w:vAlign w:val="center"/>
          </w:tcPr>
          <w:p>
            <w:pPr>
              <w:widowControl/>
              <w:spacing w:line="240" w:lineRule="exact"/>
              <w:rPr>
                <w:rFonts w:hint="default" w:ascii="仿宋" w:hAnsi="仿宋" w:eastAsia="仿宋" w:cs="Tahoma"/>
                <w:color w:val="auto"/>
                <w:kern w:val="0"/>
                <w:sz w:val="21"/>
                <w:szCs w:val="21"/>
                <w:highlight w:val="none"/>
                <w:lang w:val="en-US" w:eastAsia="zh-CN"/>
              </w:rPr>
            </w:pPr>
            <w:r>
              <w:rPr>
                <w:rFonts w:hint="eastAsia" w:ascii="仿宋" w:hAnsi="仿宋" w:eastAsia="仿宋" w:cs="Tahoma"/>
                <w:color w:val="auto"/>
                <w:kern w:val="0"/>
                <w:sz w:val="21"/>
                <w:szCs w:val="21"/>
                <w:highlight w:val="none"/>
                <w:lang w:val="en-US" w:eastAsia="zh-CN"/>
              </w:rPr>
              <w:t>10</w:t>
            </w:r>
          </w:p>
        </w:tc>
        <w:tc>
          <w:tcPr>
            <w:tcW w:w="4495" w:type="dxa"/>
            <w:tcBorders>
              <w:top w:val="single" w:color="auto" w:sz="4" w:space="0"/>
              <w:left w:val="nil"/>
              <w:bottom w:val="single" w:color="auto" w:sz="4" w:space="0"/>
              <w:right w:val="single" w:color="auto" w:sz="4" w:space="0"/>
            </w:tcBorders>
            <w:vAlign w:val="center"/>
          </w:tcPr>
          <w:p>
            <w:pPr>
              <w:widowControl/>
              <w:spacing w:line="240" w:lineRule="exact"/>
              <w:rPr>
                <w:rFonts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rPr>
              <w:t>80%（含）以上得</w:t>
            </w:r>
            <w:r>
              <w:rPr>
                <w:rFonts w:hint="eastAsia" w:ascii="仿宋" w:hAnsi="仿宋" w:eastAsia="仿宋" w:cs="Tahoma"/>
                <w:color w:val="auto"/>
                <w:kern w:val="0"/>
                <w:sz w:val="21"/>
                <w:szCs w:val="21"/>
                <w:highlight w:val="none"/>
                <w:lang w:val="en-US" w:eastAsia="zh-CN"/>
              </w:rPr>
              <w:t>3</w:t>
            </w:r>
            <w:r>
              <w:rPr>
                <w:rFonts w:hint="eastAsia" w:ascii="仿宋" w:hAnsi="仿宋" w:eastAsia="仿宋" w:cs="Tahoma"/>
                <w:color w:val="auto"/>
                <w:kern w:val="0"/>
                <w:sz w:val="21"/>
                <w:szCs w:val="21"/>
                <w:highlight w:val="none"/>
              </w:rPr>
              <w:t>分，80%以下不得分，80%以上每增加1%加0.4分，最高不超过10分。</w:t>
            </w:r>
          </w:p>
        </w:tc>
        <w:tc>
          <w:tcPr>
            <w:tcW w:w="3836" w:type="dxa"/>
            <w:gridSpan w:val="2"/>
            <w:tcBorders>
              <w:top w:val="single" w:color="auto" w:sz="4" w:space="0"/>
              <w:left w:val="nil"/>
              <w:bottom w:val="single" w:color="auto" w:sz="4" w:space="0"/>
              <w:right w:val="single" w:color="auto" w:sz="4" w:space="0"/>
            </w:tcBorders>
            <w:vAlign w:val="center"/>
          </w:tcPr>
          <w:p>
            <w:pPr>
              <w:widowControl/>
              <w:spacing w:line="240" w:lineRule="exact"/>
              <w:rPr>
                <w:rFonts w:hint="eastAsia" w:ascii="仿宋" w:hAnsi="仿宋" w:eastAsia="仿宋" w:cs="Tahoma"/>
                <w:color w:val="auto"/>
                <w:kern w:val="0"/>
                <w:sz w:val="21"/>
                <w:szCs w:val="21"/>
                <w:highlight w:val="none"/>
                <w:lang w:eastAsia="zh-CN"/>
              </w:rPr>
            </w:pPr>
            <w:r>
              <w:rPr>
                <w:rFonts w:hint="eastAsia" w:ascii="仿宋" w:hAnsi="仿宋" w:eastAsia="仿宋" w:cs="Tahoma"/>
                <w:color w:val="auto"/>
                <w:kern w:val="0"/>
                <w:sz w:val="21"/>
                <w:szCs w:val="21"/>
                <w:highlight w:val="none"/>
              </w:rPr>
              <w:t>企业服务情况确认表</w:t>
            </w:r>
            <w:r>
              <w:rPr>
                <w:rFonts w:hint="eastAsia" w:ascii="仿宋" w:hAnsi="仿宋" w:eastAsia="仿宋" w:cs="Tahoma"/>
                <w:color w:val="auto"/>
                <w:kern w:val="0"/>
                <w:sz w:val="21"/>
                <w:szCs w:val="21"/>
                <w:highlight w:val="none"/>
                <w:lang w:eastAsia="zh-CN"/>
              </w:rPr>
              <w:t>，</w:t>
            </w:r>
            <w:r>
              <w:rPr>
                <w:rFonts w:hint="eastAsia" w:ascii="仿宋" w:hAnsi="仿宋" w:eastAsia="仿宋" w:cs="Tahoma"/>
                <w:color w:val="auto"/>
                <w:kern w:val="0"/>
                <w:sz w:val="21"/>
                <w:szCs w:val="21"/>
                <w:highlight w:val="none"/>
              </w:rPr>
              <w:t>服务</w:t>
            </w:r>
            <w:r>
              <w:rPr>
                <w:rFonts w:hint="eastAsia" w:ascii="仿宋" w:hAnsi="仿宋" w:eastAsia="仿宋" w:cs="Tahoma"/>
                <w:color w:val="auto"/>
                <w:kern w:val="0"/>
                <w:sz w:val="21"/>
                <w:szCs w:val="21"/>
                <w:highlight w:val="none"/>
                <w:lang w:eastAsia="zh-CN"/>
              </w:rPr>
              <w:t>企业户</w:t>
            </w:r>
            <w:r>
              <w:rPr>
                <w:rFonts w:hint="eastAsia" w:ascii="仿宋" w:hAnsi="仿宋" w:eastAsia="仿宋" w:cs="Tahoma"/>
                <w:color w:val="auto"/>
                <w:kern w:val="0"/>
                <w:sz w:val="21"/>
                <w:szCs w:val="21"/>
                <w:highlight w:val="none"/>
              </w:rPr>
              <w:t>数</w:t>
            </w:r>
            <w:r>
              <w:rPr>
                <w:rFonts w:hint="eastAsia" w:ascii="仿宋" w:hAnsi="仿宋" w:eastAsia="仿宋" w:cs="Tahoma"/>
                <w:color w:val="auto"/>
                <w:kern w:val="0"/>
                <w:sz w:val="21"/>
                <w:szCs w:val="21"/>
                <w:highlight w:val="none"/>
                <w:lang w:eastAsia="zh-CN"/>
              </w:rPr>
              <w:t>以融资服务机构服务中小企业名单数目为准。</w:t>
            </w:r>
          </w:p>
        </w:tc>
      </w:tr>
      <w:tr>
        <w:tblPrEx>
          <w:tblLayout w:type="fixed"/>
          <w:tblCellMar>
            <w:top w:w="0" w:type="dxa"/>
            <w:left w:w="108" w:type="dxa"/>
            <w:bottom w:w="0" w:type="dxa"/>
            <w:right w:w="108" w:type="dxa"/>
          </w:tblCellMar>
        </w:tblPrEx>
        <w:trPr>
          <w:trHeight w:val="92" w:hRule="atLeast"/>
        </w:trPr>
        <w:tc>
          <w:tcPr>
            <w:tcW w:w="2112" w:type="dxa"/>
            <w:tcBorders>
              <w:top w:val="single" w:color="auto" w:sz="4" w:space="0"/>
              <w:left w:val="single" w:color="auto" w:sz="4" w:space="0"/>
              <w:bottom w:val="single" w:color="auto" w:sz="4" w:space="0"/>
              <w:right w:val="single" w:color="auto" w:sz="4" w:space="0"/>
            </w:tcBorders>
            <w:vAlign w:val="center"/>
          </w:tcPr>
          <w:p>
            <w:pPr>
              <w:widowControl/>
              <w:spacing w:line="240" w:lineRule="exact"/>
              <w:rPr>
                <w:rFonts w:hint="eastAsia" w:ascii="仿宋" w:hAnsi="仿宋" w:eastAsia="仿宋" w:cs="Tahoma"/>
                <w:color w:val="auto"/>
                <w:kern w:val="0"/>
                <w:sz w:val="21"/>
                <w:szCs w:val="21"/>
                <w:highlight w:val="none"/>
                <w:lang w:eastAsia="zh-CN"/>
              </w:rPr>
            </w:pPr>
            <w:r>
              <w:rPr>
                <w:rFonts w:hint="eastAsia" w:ascii="仿宋" w:hAnsi="仿宋" w:eastAsia="仿宋" w:cs="Tahoma"/>
                <w:color w:val="auto"/>
                <w:kern w:val="0"/>
                <w:sz w:val="21"/>
                <w:szCs w:val="21"/>
                <w:highlight w:val="none"/>
                <w:lang w:eastAsia="zh-CN"/>
              </w:rPr>
              <w:t>加分项</w:t>
            </w:r>
          </w:p>
        </w:tc>
        <w:tc>
          <w:tcPr>
            <w:tcW w:w="3433" w:type="dxa"/>
            <w:tcBorders>
              <w:top w:val="single" w:color="auto" w:sz="4" w:space="0"/>
              <w:left w:val="nil"/>
              <w:bottom w:val="single" w:color="auto" w:sz="4" w:space="0"/>
              <w:right w:val="single" w:color="auto" w:sz="4" w:space="0"/>
            </w:tcBorders>
            <w:vAlign w:val="center"/>
          </w:tcPr>
          <w:p>
            <w:pPr>
              <w:widowControl/>
              <w:spacing w:line="240" w:lineRule="exact"/>
              <w:rPr>
                <w:rFonts w:hint="eastAsia" w:ascii="仿宋" w:hAnsi="仿宋" w:eastAsia="仿宋" w:cs="Tahoma"/>
                <w:color w:val="auto"/>
                <w:kern w:val="0"/>
                <w:sz w:val="21"/>
                <w:szCs w:val="21"/>
                <w:highlight w:val="none"/>
              </w:rPr>
            </w:pPr>
            <w:r>
              <w:rPr>
                <w:rFonts w:hint="eastAsia" w:ascii="仿宋" w:hAnsi="仿宋" w:eastAsia="仿宋" w:cs="Tahoma"/>
                <w:color w:val="auto"/>
                <w:kern w:val="0"/>
                <w:sz w:val="21"/>
                <w:szCs w:val="21"/>
                <w:highlight w:val="none"/>
                <w:lang w:eastAsia="zh-CN"/>
              </w:rPr>
              <w:t>完成“</w:t>
            </w:r>
            <w:r>
              <w:rPr>
                <w:rFonts w:hint="eastAsia" w:ascii="仿宋" w:hAnsi="仿宋" w:eastAsia="仿宋" w:cs="Tahoma"/>
                <w:color w:val="auto"/>
                <w:kern w:val="0"/>
                <w:sz w:val="21"/>
                <w:szCs w:val="21"/>
                <w:highlight w:val="none"/>
              </w:rPr>
              <w:t>三服务</w:t>
            </w:r>
            <w:r>
              <w:rPr>
                <w:rFonts w:hint="eastAsia" w:ascii="仿宋" w:hAnsi="仿宋" w:eastAsia="仿宋" w:cs="Tahoma"/>
                <w:color w:val="auto"/>
                <w:kern w:val="0"/>
                <w:sz w:val="21"/>
                <w:szCs w:val="21"/>
                <w:highlight w:val="none"/>
                <w:lang w:eastAsia="zh-CN"/>
              </w:rPr>
              <w:t>”、商业价值信用贷款、应急转贷、问卷调查等专项工作</w:t>
            </w:r>
            <w:r>
              <w:rPr>
                <w:rFonts w:hint="eastAsia" w:ascii="仿宋" w:hAnsi="仿宋" w:eastAsia="仿宋" w:cs="Tahoma"/>
                <w:color w:val="auto"/>
                <w:kern w:val="0"/>
                <w:sz w:val="21"/>
                <w:szCs w:val="21"/>
                <w:highlight w:val="none"/>
              </w:rPr>
              <w:t>。</w:t>
            </w:r>
          </w:p>
        </w:tc>
        <w:tc>
          <w:tcPr>
            <w:tcW w:w="697" w:type="dxa"/>
            <w:tcBorders>
              <w:top w:val="single" w:color="auto" w:sz="4" w:space="0"/>
              <w:left w:val="nil"/>
              <w:bottom w:val="single" w:color="auto" w:sz="4" w:space="0"/>
              <w:right w:val="single" w:color="auto" w:sz="4" w:space="0"/>
            </w:tcBorders>
            <w:vAlign w:val="center"/>
          </w:tcPr>
          <w:p>
            <w:pPr>
              <w:widowControl/>
              <w:spacing w:line="240" w:lineRule="exact"/>
              <w:rPr>
                <w:rFonts w:hint="default" w:ascii="仿宋" w:hAnsi="仿宋" w:eastAsia="仿宋" w:cs="Tahoma"/>
                <w:color w:val="auto"/>
                <w:kern w:val="0"/>
                <w:sz w:val="21"/>
                <w:szCs w:val="21"/>
                <w:highlight w:val="none"/>
                <w:lang w:val="en-US" w:eastAsia="zh-CN"/>
              </w:rPr>
            </w:pPr>
            <w:r>
              <w:rPr>
                <w:rFonts w:hint="eastAsia" w:ascii="仿宋" w:hAnsi="仿宋" w:eastAsia="仿宋" w:cs="Tahoma"/>
                <w:color w:val="auto"/>
                <w:kern w:val="0"/>
                <w:sz w:val="21"/>
                <w:szCs w:val="21"/>
                <w:highlight w:val="none"/>
                <w:lang w:val="en-US" w:eastAsia="zh-CN"/>
              </w:rPr>
              <w:t>10</w:t>
            </w:r>
          </w:p>
        </w:tc>
        <w:tc>
          <w:tcPr>
            <w:tcW w:w="4495" w:type="dxa"/>
            <w:tcBorders>
              <w:top w:val="single" w:color="auto" w:sz="4" w:space="0"/>
              <w:left w:val="nil"/>
              <w:bottom w:val="single" w:color="auto" w:sz="4" w:space="0"/>
              <w:right w:val="single" w:color="auto" w:sz="4" w:space="0"/>
            </w:tcBorders>
            <w:vAlign w:val="center"/>
          </w:tcPr>
          <w:p>
            <w:pPr>
              <w:widowControl/>
              <w:spacing w:line="240" w:lineRule="exact"/>
              <w:rPr>
                <w:rFonts w:hint="eastAsia" w:ascii="仿宋" w:hAnsi="仿宋" w:eastAsia="仿宋" w:cs="Tahoma"/>
                <w:color w:val="auto"/>
                <w:kern w:val="0"/>
                <w:sz w:val="21"/>
                <w:szCs w:val="21"/>
                <w:highlight w:val="none"/>
                <w:lang w:eastAsia="zh-CN"/>
              </w:rPr>
            </w:pPr>
          </w:p>
        </w:tc>
        <w:tc>
          <w:tcPr>
            <w:tcW w:w="3836"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00" w:lineRule="exact"/>
              <w:textAlignment w:val="auto"/>
              <w:outlineLvl w:val="9"/>
              <w:rPr>
                <w:rFonts w:hint="eastAsia" w:ascii="仿宋" w:hAnsi="仿宋" w:eastAsia="仿宋" w:cs="Tahoma"/>
                <w:color w:val="auto"/>
                <w:kern w:val="0"/>
                <w:sz w:val="21"/>
                <w:szCs w:val="21"/>
                <w:highlight w:val="none"/>
                <w:lang w:eastAsia="zh-CN"/>
              </w:rPr>
            </w:pPr>
            <w:r>
              <w:rPr>
                <w:rFonts w:hint="eastAsia" w:ascii="仿宋" w:hAnsi="仿宋" w:eastAsia="仿宋" w:cs="Tahoma"/>
                <w:color w:val="auto"/>
                <w:kern w:val="0"/>
                <w:sz w:val="21"/>
                <w:szCs w:val="21"/>
                <w:highlight w:val="none"/>
                <w:lang w:eastAsia="zh-CN"/>
              </w:rPr>
              <w:t>市中小企业发展服务中心依据相关资料综合评定。</w:t>
            </w:r>
          </w:p>
        </w:tc>
      </w:tr>
    </w:tbl>
    <w:p>
      <w:pPr>
        <w:pStyle w:val="2"/>
        <w:rPr>
          <w:rFonts w:hint="default"/>
          <w:color w:val="auto"/>
          <w:lang w:val="en-US" w:eastAsia="zh-CN"/>
        </w:rPr>
        <w:sectPr>
          <w:pgSz w:w="16838" w:h="11906" w:orient="landscape"/>
          <w:pgMar w:top="1587" w:right="2098" w:bottom="1474" w:left="1984"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pPr>
    </w:p>
    <w:p>
      <w:pPr>
        <w:spacing w:line="560" w:lineRule="exact"/>
        <w:rPr>
          <w:rFonts w:hint="eastAsia" w:ascii="方正黑体_GBK" w:hAnsi="方正仿宋_GBK" w:eastAsia="方正黑体_GBK" w:cs="方正仿宋_GBK"/>
          <w:color w:val="auto"/>
          <w:sz w:val="32"/>
          <w:szCs w:val="32"/>
          <w:highlight w:val="none"/>
          <w:lang w:val="en-US" w:eastAsia="zh-CN"/>
        </w:rPr>
      </w:pPr>
      <w:r>
        <w:rPr>
          <w:rFonts w:hint="eastAsia" w:ascii="方正黑体_GBK" w:hAnsi="方正仿宋_GBK" w:eastAsia="方正黑体_GBK" w:cs="方正仿宋_GBK"/>
          <w:color w:val="auto"/>
          <w:sz w:val="32"/>
          <w:szCs w:val="32"/>
          <w:highlight w:val="none"/>
        </w:rPr>
        <w:t>附件</w:t>
      </w:r>
      <w:r>
        <w:rPr>
          <w:rFonts w:hint="eastAsia" w:ascii="方正黑体_GBK" w:hAnsi="方正仿宋_GBK" w:eastAsia="方正黑体_GBK" w:cs="方正仿宋_GBK"/>
          <w:color w:val="auto"/>
          <w:sz w:val="32"/>
          <w:szCs w:val="32"/>
          <w:highlight w:val="none"/>
          <w:lang w:val="en-US" w:eastAsia="zh-CN"/>
        </w:rPr>
        <w:t>2</w:t>
      </w:r>
    </w:p>
    <w:p>
      <w:pPr>
        <w:spacing w:line="640" w:lineRule="exact"/>
        <w:jc w:val="center"/>
        <w:rPr>
          <w:rFonts w:ascii="方正小标宋_GBK" w:hAnsi="方正仿宋_GBK" w:eastAsia="方正小标宋_GBK" w:cs="方正仿宋_GBK"/>
          <w:color w:val="auto"/>
          <w:sz w:val="32"/>
          <w:szCs w:val="32"/>
          <w:highlight w:val="none"/>
        </w:rPr>
      </w:pPr>
      <w:r>
        <w:rPr>
          <w:rFonts w:hint="eastAsia" w:ascii="方正小标宋_GBK" w:hAnsi="方正仿宋_GBK" w:eastAsia="方正小标宋_GBK" w:cs="方正仿宋_GBK"/>
          <w:color w:val="auto"/>
          <w:sz w:val="32"/>
          <w:szCs w:val="32"/>
          <w:highlight w:val="none"/>
        </w:rPr>
        <w:t>重庆市中小企业融资服务专项绩效奖补申请表</w:t>
      </w:r>
    </w:p>
    <w:tbl>
      <w:tblPr>
        <w:tblStyle w:val="5"/>
        <w:tblW w:w="9480" w:type="dxa"/>
        <w:tblInd w:w="93" w:type="dxa"/>
        <w:tblLayout w:type="fixed"/>
        <w:tblCellMar>
          <w:top w:w="0" w:type="dxa"/>
          <w:left w:w="108" w:type="dxa"/>
          <w:bottom w:w="0" w:type="dxa"/>
          <w:right w:w="108" w:type="dxa"/>
        </w:tblCellMar>
      </w:tblPr>
      <w:tblGrid>
        <w:gridCol w:w="2000"/>
        <w:gridCol w:w="1417"/>
        <w:gridCol w:w="1418"/>
        <w:gridCol w:w="1701"/>
        <w:gridCol w:w="2944"/>
      </w:tblGrid>
      <w:tr>
        <w:tblPrEx>
          <w:tblLayout w:type="fixed"/>
          <w:tblCellMar>
            <w:top w:w="0" w:type="dxa"/>
            <w:left w:w="108" w:type="dxa"/>
            <w:bottom w:w="0" w:type="dxa"/>
            <w:right w:w="108" w:type="dxa"/>
          </w:tblCellMar>
        </w:tblPrEx>
        <w:trPr>
          <w:trHeight w:val="881" w:hRule="exact"/>
        </w:trPr>
        <w:tc>
          <w:tcPr>
            <w:tcW w:w="2000"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机构名称</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填写并盖章</w:t>
            </w:r>
          </w:p>
        </w:tc>
        <w:tc>
          <w:tcPr>
            <w:tcW w:w="1701" w:type="dxa"/>
            <w:tcBorders>
              <w:top w:val="single" w:color="auto" w:sz="4" w:space="0"/>
              <w:left w:val="nil"/>
              <w:bottom w:val="nil"/>
              <w:right w:val="nil"/>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成立时间</w:t>
            </w:r>
          </w:p>
        </w:tc>
        <w:tc>
          <w:tcPr>
            <w:tcW w:w="2944" w:type="dxa"/>
            <w:tcBorders>
              <w:top w:val="single" w:color="auto" w:sz="4" w:space="0"/>
              <w:left w:val="single" w:color="auto" w:sz="4" w:space="0"/>
              <w:bottom w:val="single" w:color="auto" w:sz="4" w:space="0"/>
              <w:right w:val="single" w:color="000000" w:sz="4" w:space="0"/>
            </w:tcBorders>
            <w:vAlign w:val="center"/>
          </w:tcPr>
          <w:p>
            <w:pPr>
              <w:widowControl/>
              <w:rPr>
                <w:rFonts w:ascii="宋体" w:hAnsi="宋体" w:cs="宋体"/>
                <w:color w:val="auto"/>
                <w:kern w:val="0"/>
                <w:sz w:val="24"/>
                <w:highlight w:val="none"/>
              </w:rPr>
            </w:pPr>
          </w:p>
        </w:tc>
      </w:tr>
      <w:tr>
        <w:tblPrEx>
          <w:tblLayout w:type="fixed"/>
          <w:tblCellMar>
            <w:top w:w="0" w:type="dxa"/>
            <w:left w:w="108" w:type="dxa"/>
            <w:bottom w:w="0" w:type="dxa"/>
            <w:right w:w="108" w:type="dxa"/>
          </w:tblCellMar>
        </w:tblPrEx>
        <w:trPr>
          <w:trHeight w:val="898" w:hRule="exact"/>
        </w:trPr>
        <w:tc>
          <w:tcPr>
            <w:tcW w:w="2000"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经营场所地址及面积（㎡）</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c>
          <w:tcPr>
            <w:tcW w:w="1701" w:type="dxa"/>
            <w:tcBorders>
              <w:top w:val="single" w:color="auto" w:sz="4" w:space="0"/>
              <w:left w:val="nil"/>
              <w:bottom w:val="nil"/>
              <w:right w:val="nil"/>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注册资本</w:t>
            </w:r>
          </w:p>
        </w:tc>
        <w:tc>
          <w:tcPr>
            <w:tcW w:w="2944" w:type="dxa"/>
            <w:tcBorders>
              <w:top w:val="single" w:color="auto" w:sz="4" w:space="0"/>
              <w:left w:val="single" w:color="auto" w:sz="4" w:space="0"/>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840" w:hRule="exact"/>
        </w:trPr>
        <w:tc>
          <w:tcPr>
            <w:tcW w:w="2000" w:type="dxa"/>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法定代表人/负责人及联系电话</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c>
          <w:tcPr>
            <w:tcW w:w="1701" w:type="dxa"/>
            <w:tcBorders>
              <w:top w:val="single" w:color="auto" w:sz="4" w:space="0"/>
              <w:left w:val="nil"/>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联系人及联系电话</w:t>
            </w:r>
          </w:p>
        </w:tc>
        <w:tc>
          <w:tcPr>
            <w:tcW w:w="2944" w:type="dxa"/>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853" w:hRule="exact"/>
        </w:trPr>
        <w:tc>
          <w:tcPr>
            <w:tcW w:w="2000" w:type="dxa"/>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员工总数</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c>
          <w:tcPr>
            <w:tcW w:w="1701" w:type="dxa"/>
            <w:tcBorders>
              <w:top w:val="single" w:color="auto" w:sz="4" w:space="0"/>
              <w:left w:val="nil"/>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上年度服务中小企业数</w:t>
            </w:r>
          </w:p>
        </w:tc>
        <w:tc>
          <w:tcPr>
            <w:tcW w:w="2944" w:type="dxa"/>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992" w:hRule="exact"/>
        </w:trPr>
        <w:tc>
          <w:tcPr>
            <w:tcW w:w="2000" w:type="dxa"/>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上年度开展融资服务活动次数</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p>
        </w:tc>
        <w:tc>
          <w:tcPr>
            <w:tcW w:w="1701" w:type="dxa"/>
            <w:tcBorders>
              <w:top w:val="single" w:color="auto" w:sz="4" w:space="0"/>
              <w:left w:val="nil"/>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上年度提供免费融资服务次数</w:t>
            </w:r>
          </w:p>
        </w:tc>
        <w:tc>
          <w:tcPr>
            <w:tcW w:w="2944" w:type="dxa"/>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p>
        </w:tc>
      </w:tr>
      <w:tr>
        <w:tblPrEx>
          <w:tblLayout w:type="fixed"/>
          <w:tblCellMar>
            <w:top w:w="0" w:type="dxa"/>
            <w:left w:w="108" w:type="dxa"/>
            <w:bottom w:w="0" w:type="dxa"/>
            <w:right w:w="108" w:type="dxa"/>
          </w:tblCellMar>
        </w:tblPrEx>
        <w:trPr>
          <w:trHeight w:val="993" w:hRule="exact"/>
        </w:trPr>
        <w:tc>
          <w:tcPr>
            <w:tcW w:w="2000" w:type="dxa"/>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上年度帮助企业融资总额（万元）</w:t>
            </w:r>
          </w:p>
        </w:tc>
        <w:tc>
          <w:tcPr>
            <w:tcW w:w="2835" w:type="dxa"/>
            <w:gridSpan w:val="2"/>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p>
        </w:tc>
        <w:tc>
          <w:tcPr>
            <w:tcW w:w="1701" w:type="dxa"/>
            <w:tcBorders>
              <w:top w:val="single" w:color="auto" w:sz="4" w:space="0"/>
              <w:left w:val="nil"/>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上年度服务性支出总额   （万元）</w:t>
            </w:r>
          </w:p>
        </w:tc>
        <w:tc>
          <w:tcPr>
            <w:tcW w:w="2944" w:type="dxa"/>
            <w:tcBorders>
              <w:top w:val="single" w:color="auto" w:sz="4" w:space="0"/>
              <w:left w:val="nil"/>
              <w:bottom w:val="single" w:color="auto" w:sz="4" w:space="0"/>
              <w:right w:val="single" w:color="000000" w:sz="4" w:space="0"/>
            </w:tcBorders>
            <w:vAlign w:val="center"/>
          </w:tcPr>
          <w:p>
            <w:pPr>
              <w:widowControl/>
              <w:rPr>
                <w:rFonts w:ascii="宋体" w:hAnsi="宋体" w:cs="宋体"/>
                <w:color w:val="auto"/>
                <w:kern w:val="0"/>
                <w:sz w:val="24"/>
                <w:highlight w:val="none"/>
              </w:rPr>
            </w:pPr>
          </w:p>
        </w:tc>
      </w:tr>
      <w:tr>
        <w:tblPrEx>
          <w:tblLayout w:type="fixed"/>
          <w:tblCellMar>
            <w:top w:w="0" w:type="dxa"/>
            <w:left w:w="108" w:type="dxa"/>
            <w:bottom w:w="0" w:type="dxa"/>
            <w:right w:w="108" w:type="dxa"/>
          </w:tblCellMar>
        </w:tblPrEx>
        <w:trPr>
          <w:trHeight w:val="1573" w:hRule="exact"/>
        </w:trPr>
        <w:tc>
          <w:tcPr>
            <w:tcW w:w="2000" w:type="dxa"/>
            <w:tcBorders>
              <w:top w:val="nil"/>
              <w:left w:val="single" w:color="auto" w:sz="4" w:space="0"/>
              <w:bottom w:val="single" w:color="auto" w:sz="4" w:space="0"/>
              <w:right w:val="single" w:color="auto" w:sz="4" w:space="0"/>
            </w:tcBorders>
            <w:vAlign w:val="center"/>
          </w:tcPr>
          <w:p>
            <w:pPr>
              <w:widowControl/>
              <w:rPr>
                <w:rFonts w:ascii="方正仿宋_GBK" w:hAnsi="宋体" w:eastAsia="方正仿宋_GBK" w:cs="宋体"/>
                <w:color w:val="auto"/>
                <w:kern w:val="0"/>
                <w:sz w:val="20"/>
                <w:szCs w:val="20"/>
                <w:highlight w:val="none"/>
              </w:rPr>
            </w:pPr>
            <w:r>
              <w:rPr>
                <w:rFonts w:hint="eastAsia" w:ascii="宋体" w:hAnsi="宋体" w:cs="宋体"/>
                <w:color w:val="auto"/>
                <w:kern w:val="0"/>
                <w:sz w:val="24"/>
                <w:highlight w:val="none"/>
              </w:rPr>
              <w:t>在重庆市中小企业公共服务平台网站上注册及数据报送情况</w:t>
            </w:r>
          </w:p>
        </w:tc>
        <w:tc>
          <w:tcPr>
            <w:tcW w:w="7480" w:type="dxa"/>
            <w:gridSpan w:val="4"/>
            <w:tcBorders>
              <w:top w:val="single" w:color="auto" w:sz="4" w:space="0"/>
              <w:left w:val="nil"/>
              <w:bottom w:val="single" w:color="auto" w:sz="4" w:space="0"/>
              <w:right w:val="single" w:color="000000" w:sz="4" w:space="0"/>
            </w:tcBorders>
            <w:vAlign w:val="center"/>
          </w:tcPr>
          <w:p>
            <w:pPr>
              <w:widowControl/>
              <w:rPr>
                <w:rFonts w:ascii="方正仿宋_GBK" w:hAnsi="宋体" w:eastAsia="方正仿宋_GBK" w:cs="宋体"/>
                <w:color w:val="auto"/>
                <w:kern w:val="0"/>
                <w:sz w:val="20"/>
                <w:szCs w:val="20"/>
                <w:highlight w:val="none"/>
              </w:rPr>
            </w:pPr>
          </w:p>
        </w:tc>
      </w:tr>
      <w:tr>
        <w:tblPrEx>
          <w:tblLayout w:type="fixed"/>
          <w:tblCellMar>
            <w:top w:w="0" w:type="dxa"/>
            <w:left w:w="108" w:type="dxa"/>
            <w:bottom w:w="0" w:type="dxa"/>
            <w:right w:w="108" w:type="dxa"/>
          </w:tblCellMar>
        </w:tblPrEx>
        <w:trPr>
          <w:trHeight w:val="567" w:hRule="exact"/>
        </w:trPr>
        <w:tc>
          <w:tcPr>
            <w:tcW w:w="2000" w:type="dxa"/>
            <w:vMerge w:val="restart"/>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银行开户许可证信息</w:t>
            </w:r>
          </w:p>
        </w:tc>
        <w:tc>
          <w:tcPr>
            <w:tcW w:w="1417" w:type="dxa"/>
            <w:tcBorders>
              <w:top w:val="nil"/>
              <w:left w:val="nil"/>
              <w:bottom w:val="single" w:color="auto" w:sz="4" w:space="0"/>
              <w:right w:val="nil"/>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帐户名称</w:t>
            </w:r>
          </w:p>
        </w:tc>
        <w:tc>
          <w:tcPr>
            <w:tcW w:w="6063" w:type="dxa"/>
            <w:gridSpan w:val="3"/>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549" w:hRule="exact"/>
        </w:trPr>
        <w:tc>
          <w:tcPr>
            <w:tcW w:w="2000" w:type="dxa"/>
            <w:vMerge w:val="continue"/>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p>
        </w:tc>
        <w:tc>
          <w:tcPr>
            <w:tcW w:w="1417" w:type="dxa"/>
            <w:tcBorders>
              <w:top w:val="nil"/>
              <w:left w:val="nil"/>
              <w:bottom w:val="single" w:color="auto" w:sz="4" w:space="0"/>
              <w:right w:val="nil"/>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开户行</w:t>
            </w:r>
          </w:p>
        </w:tc>
        <w:tc>
          <w:tcPr>
            <w:tcW w:w="6063" w:type="dxa"/>
            <w:gridSpan w:val="3"/>
            <w:tcBorders>
              <w:top w:val="single" w:color="auto" w:sz="4" w:space="0"/>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569" w:hRule="exact"/>
        </w:trPr>
        <w:tc>
          <w:tcPr>
            <w:tcW w:w="2000" w:type="dxa"/>
            <w:vMerge w:val="continue"/>
            <w:tcBorders>
              <w:top w:val="nil"/>
              <w:left w:val="single" w:color="auto" w:sz="4" w:space="0"/>
              <w:bottom w:val="single" w:color="auto" w:sz="4" w:space="0"/>
              <w:right w:val="single" w:color="auto" w:sz="4" w:space="0"/>
            </w:tcBorders>
            <w:vAlign w:val="center"/>
          </w:tcPr>
          <w:p>
            <w:pPr>
              <w:widowControl/>
              <w:rPr>
                <w:rFonts w:ascii="宋体" w:hAnsi="宋体" w:cs="宋体"/>
                <w:color w:val="auto"/>
                <w:kern w:val="0"/>
                <w:sz w:val="24"/>
                <w:highlight w:val="none"/>
              </w:rPr>
            </w:pPr>
          </w:p>
        </w:tc>
        <w:tc>
          <w:tcPr>
            <w:tcW w:w="1417" w:type="dxa"/>
            <w:tcBorders>
              <w:top w:val="nil"/>
              <w:left w:val="nil"/>
              <w:bottom w:val="nil"/>
              <w:right w:val="nil"/>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帐号</w:t>
            </w:r>
          </w:p>
        </w:tc>
        <w:tc>
          <w:tcPr>
            <w:tcW w:w="6063" w:type="dxa"/>
            <w:gridSpan w:val="3"/>
            <w:tcBorders>
              <w:top w:val="single" w:color="auto" w:sz="4" w:space="0"/>
              <w:left w:val="single" w:color="auto" w:sz="4" w:space="0"/>
              <w:bottom w:val="single" w:color="000000" w:sz="4" w:space="0"/>
              <w:right w:val="single" w:color="auto" w:sz="4" w:space="0"/>
            </w:tcBorders>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　</w:t>
            </w:r>
          </w:p>
        </w:tc>
      </w:tr>
      <w:tr>
        <w:tblPrEx>
          <w:tblLayout w:type="fixed"/>
          <w:tblCellMar>
            <w:top w:w="0" w:type="dxa"/>
            <w:left w:w="108" w:type="dxa"/>
            <w:bottom w:w="0" w:type="dxa"/>
            <w:right w:w="108" w:type="dxa"/>
          </w:tblCellMar>
        </w:tblPrEx>
        <w:trPr>
          <w:trHeight w:val="1566" w:hRule="atLeast"/>
        </w:trPr>
        <w:tc>
          <w:tcPr>
            <w:tcW w:w="2000" w:type="dxa"/>
            <w:tcBorders>
              <w:top w:val="single" w:color="auto" w:sz="4" w:space="0"/>
              <w:left w:val="single" w:color="auto" w:sz="4" w:space="0"/>
              <w:bottom w:val="single" w:color="auto" w:sz="4" w:space="0"/>
              <w:right w:val="single" w:color="auto" w:sz="4" w:space="0"/>
            </w:tcBorders>
            <w:vAlign w:val="center"/>
          </w:tcPr>
          <w:p>
            <w:pPr>
              <w:widowControl/>
              <w:ind w:firstLine="360" w:firstLineChars="150"/>
              <w:rPr>
                <w:rFonts w:ascii="宋体" w:hAnsi="宋体" w:cs="宋体"/>
                <w:color w:val="auto"/>
                <w:kern w:val="0"/>
                <w:sz w:val="24"/>
                <w:highlight w:val="none"/>
              </w:rPr>
            </w:pPr>
            <w:r>
              <w:rPr>
                <w:rFonts w:hint="eastAsia" w:ascii="宋体" w:hAnsi="宋体" w:cs="宋体"/>
                <w:color w:val="auto"/>
                <w:kern w:val="0"/>
                <w:sz w:val="24"/>
                <w:highlight w:val="none"/>
              </w:rPr>
              <w:t>融资服务</w:t>
            </w:r>
          </w:p>
          <w:p>
            <w:pPr>
              <w:widowControl/>
              <w:ind w:firstLine="360" w:firstLineChars="150"/>
              <w:rPr>
                <w:rFonts w:ascii="宋体" w:hAnsi="宋体" w:cs="宋体"/>
                <w:color w:val="auto"/>
                <w:kern w:val="0"/>
                <w:sz w:val="24"/>
                <w:highlight w:val="none"/>
              </w:rPr>
            </w:pPr>
            <w:r>
              <w:rPr>
                <w:rFonts w:hint="eastAsia" w:ascii="宋体" w:hAnsi="宋体" w:cs="宋体"/>
                <w:color w:val="auto"/>
                <w:kern w:val="0"/>
                <w:sz w:val="24"/>
                <w:highlight w:val="none"/>
              </w:rPr>
              <w:t>机构承诺</w:t>
            </w:r>
          </w:p>
        </w:tc>
        <w:tc>
          <w:tcPr>
            <w:tcW w:w="7480" w:type="dxa"/>
            <w:gridSpan w:val="4"/>
            <w:tcBorders>
              <w:top w:val="single" w:color="auto" w:sz="4" w:space="0"/>
              <w:left w:val="nil"/>
              <w:bottom w:val="single" w:color="auto" w:sz="4" w:space="0"/>
              <w:right w:val="single" w:color="auto" w:sz="4" w:space="0"/>
            </w:tcBorders>
            <w:vAlign w:val="center"/>
          </w:tcPr>
          <w:p>
            <w:pPr>
              <w:widowControl/>
              <w:spacing w:line="300" w:lineRule="exact"/>
              <w:ind w:firstLine="360" w:firstLineChars="150"/>
              <w:rPr>
                <w:rFonts w:ascii="宋体" w:hAnsi="宋体" w:cs="宋体"/>
                <w:color w:val="auto"/>
                <w:kern w:val="0"/>
                <w:sz w:val="24"/>
                <w:highlight w:val="none"/>
              </w:rPr>
            </w:pPr>
          </w:p>
          <w:p>
            <w:pPr>
              <w:widowControl/>
              <w:spacing w:line="48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本单位申报服务绩效奖补所提交的申报材料均真实、合法，如有不实之处，愿负相应法律责任，并承担由此产生的一切后果。</w:t>
            </w:r>
          </w:p>
          <w:p>
            <w:pPr>
              <w:widowControl/>
              <w:spacing w:line="260" w:lineRule="exact"/>
              <w:rPr>
                <w:rFonts w:hint="eastAsia" w:ascii="宋体" w:hAnsi="宋体" w:cs="宋体"/>
                <w:color w:val="auto"/>
                <w:kern w:val="0"/>
                <w:sz w:val="24"/>
                <w:highlight w:val="none"/>
              </w:rPr>
            </w:pPr>
          </w:p>
          <w:p>
            <w:pPr>
              <w:spacing w:line="260" w:lineRule="exact"/>
              <w:rPr>
                <w:rFonts w:ascii="宋体" w:hAnsi="宋体" w:cs="宋体"/>
                <w:color w:val="auto"/>
                <w:kern w:val="0"/>
                <w:sz w:val="24"/>
                <w:highlight w:val="none"/>
              </w:rPr>
            </w:pPr>
          </w:p>
          <w:p>
            <w:pPr>
              <w:widowControl/>
              <w:spacing w:line="260" w:lineRule="exact"/>
              <w:rPr>
                <w:rFonts w:ascii="宋体" w:hAnsi="宋体" w:cs="宋体"/>
                <w:color w:val="auto"/>
                <w:kern w:val="0"/>
                <w:sz w:val="24"/>
                <w:highlight w:val="none"/>
              </w:rPr>
            </w:pPr>
            <w:r>
              <w:rPr>
                <w:rFonts w:hint="eastAsia" w:ascii="宋体" w:hAnsi="宋体" w:cs="宋体"/>
                <w:color w:val="auto"/>
                <w:kern w:val="0"/>
                <w:sz w:val="24"/>
                <w:highlight w:val="none"/>
              </w:rPr>
              <w:t>法定代表人（负责人）：             单位（公章）：</w:t>
            </w:r>
          </w:p>
          <w:p>
            <w:pPr>
              <w:widowControl/>
              <w:rPr>
                <w:rFonts w:ascii="宋体" w:hAnsi="宋体" w:cs="宋体"/>
                <w:color w:val="auto"/>
                <w:kern w:val="0"/>
                <w:sz w:val="24"/>
                <w:highlight w:val="none"/>
              </w:rPr>
            </w:pPr>
            <w:r>
              <w:rPr>
                <w:rFonts w:hint="eastAsia" w:ascii="宋体" w:hAnsi="宋体" w:cs="宋体"/>
                <w:color w:val="auto"/>
                <w:kern w:val="0"/>
                <w:sz w:val="24"/>
                <w:highlight w:val="none"/>
              </w:rPr>
              <w:t>                 年  月   日</w:t>
            </w:r>
          </w:p>
        </w:tc>
      </w:tr>
    </w:tbl>
    <w:p>
      <w:pPr>
        <w:rPr>
          <w:rFonts w:hint="eastAsia" w:ascii="方正黑体_GBK" w:eastAsia="方正黑体_GBK"/>
          <w:color w:val="auto"/>
          <w:sz w:val="32"/>
          <w:szCs w:val="32"/>
          <w:highlight w:val="none"/>
          <w:lang w:val="en-US" w:eastAsia="zh-CN"/>
        </w:rPr>
      </w:pPr>
      <w:r>
        <w:rPr>
          <w:rFonts w:hint="eastAsia" w:ascii="方正黑体_GBK" w:eastAsia="方正黑体_GBK"/>
          <w:color w:val="auto"/>
          <w:sz w:val="32"/>
          <w:szCs w:val="32"/>
          <w:highlight w:val="none"/>
        </w:rPr>
        <w:t>附件</w:t>
      </w:r>
      <w:r>
        <w:rPr>
          <w:rFonts w:hint="eastAsia" w:ascii="方正黑体_GBK" w:eastAsia="方正黑体_GBK"/>
          <w:color w:val="auto"/>
          <w:sz w:val="32"/>
          <w:szCs w:val="32"/>
          <w:highlight w:val="none"/>
          <w:lang w:val="en-US" w:eastAsia="zh-CN"/>
        </w:rPr>
        <w:t>3</w:t>
      </w:r>
    </w:p>
    <w:tbl>
      <w:tblPr>
        <w:tblStyle w:val="5"/>
        <w:tblpPr w:leftFromText="180" w:rightFromText="180" w:vertAnchor="text" w:horzAnchor="margin" w:tblpY="681"/>
        <w:tblOverlap w:val="never"/>
        <w:tblW w:w="9429" w:type="dxa"/>
        <w:tblInd w:w="318" w:type="dxa"/>
        <w:tblLayout w:type="fixed"/>
        <w:tblCellMar>
          <w:top w:w="0" w:type="dxa"/>
          <w:left w:w="108" w:type="dxa"/>
          <w:bottom w:w="0" w:type="dxa"/>
          <w:right w:w="108" w:type="dxa"/>
        </w:tblCellMar>
      </w:tblPr>
      <w:tblGrid>
        <w:gridCol w:w="539"/>
        <w:gridCol w:w="1906"/>
        <w:gridCol w:w="889"/>
        <w:gridCol w:w="1134"/>
        <w:gridCol w:w="1417"/>
        <w:gridCol w:w="851"/>
        <w:gridCol w:w="850"/>
        <w:gridCol w:w="709"/>
        <w:gridCol w:w="1134"/>
      </w:tblGrid>
      <w:tr>
        <w:tblPrEx>
          <w:tblLayout w:type="fixed"/>
          <w:tblCellMar>
            <w:top w:w="0" w:type="dxa"/>
            <w:left w:w="108" w:type="dxa"/>
            <w:bottom w:w="0" w:type="dxa"/>
            <w:right w:w="108" w:type="dxa"/>
          </w:tblCellMar>
        </w:tblPrEx>
        <w:trPr>
          <w:trHeight w:val="570" w:hRule="atLeast"/>
        </w:trPr>
        <w:tc>
          <w:tcPr>
            <w:tcW w:w="9429" w:type="dxa"/>
            <w:gridSpan w:val="9"/>
            <w:tcBorders>
              <w:top w:val="nil"/>
              <w:left w:val="nil"/>
              <w:bottom w:val="nil"/>
              <w:right w:val="nil"/>
            </w:tcBorders>
            <w:vAlign w:val="center"/>
          </w:tcPr>
          <w:p>
            <w:pPr>
              <w:widowControl/>
              <w:jc w:val="center"/>
              <w:rPr>
                <w:rFonts w:ascii="方正小标宋_GBK" w:hAnsi="宋体" w:eastAsia="方正小标宋_GBK" w:cs="宋体"/>
                <w:color w:val="auto"/>
                <w:kern w:val="0"/>
                <w:sz w:val="32"/>
                <w:szCs w:val="32"/>
                <w:highlight w:val="none"/>
              </w:rPr>
            </w:pPr>
            <w:r>
              <w:rPr>
                <w:rFonts w:hint="eastAsia" w:ascii="方正小标宋_GBK" w:hAnsi="宋体" w:eastAsia="方正小标宋_GBK" w:cs="宋体"/>
                <w:color w:val="auto"/>
                <w:kern w:val="0"/>
                <w:sz w:val="32"/>
                <w:szCs w:val="32"/>
                <w:highlight w:val="none"/>
              </w:rPr>
              <w:t>_____年度融资服务机构服务中小企业名单</w:t>
            </w:r>
          </w:p>
        </w:tc>
      </w:tr>
      <w:tr>
        <w:tblPrEx>
          <w:tblLayout w:type="fixed"/>
          <w:tblCellMar>
            <w:top w:w="0" w:type="dxa"/>
            <w:left w:w="108" w:type="dxa"/>
            <w:bottom w:w="0" w:type="dxa"/>
            <w:right w:w="108" w:type="dxa"/>
          </w:tblCellMar>
        </w:tblPrEx>
        <w:trPr>
          <w:trHeight w:val="570" w:hRule="atLeast"/>
        </w:trPr>
        <w:tc>
          <w:tcPr>
            <w:tcW w:w="9429" w:type="dxa"/>
            <w:gridSpan w:val="9"/>
            <w:tcBorders>
              <w:top w:val="nil"/>
              <w:left w:val="nil"/>
              <w:bottom w:val="single" w:color="auto" w:sz="4" w:space="0"/>
              <w:right w:val="nil"/>
            </w:tcBorders>
            <w:vAlign w:val="center"/>
          </w:tcPr>
          <w:p>
            <w:pPr>
              <w:widowControl/>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融资服务机构名称（盖章）:                             填表时间:</w:t>
            </w:r>
          </w:p>
        </w:tc>
      </w:tr>
      <w:tr>
        <w:tblPrEx>
          <w:tblLayout w:type="fixed"/>
          <w:tblCellMar>
            <w:top w:w="0" w:type="dxa"/>
            <w:left w:w="108" w:type="dxa"/>
            <w:bottom w:w="0" w:type="dxa"/>
            <w:right w:w="108" w:type="dxa"/>
          </w:tblCellMar>
        </w:tblPrEx>
        <w:trPr>
          <w:trHeight w:val="285" w:hRule="atLeast"/>
        </w:trPr>
        <w:tc>
          <w:tcPr>
            <w:tcW w:w="539"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序号</w:t>
            </w:r>
          </w:p>
        </w:tc>
        <w:tc>
          <w:tcPr>
            <w:tcW w:w="1906"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接受服务的</w:t>
            </w:r>
          </w:p>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企业名称</w:t>
            </w:r>
          </w:p>
        </w:tc>
        <w:tc>
          <w:tcPr>
            <w:tcW w:w="889"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服务内容</w:t>
            </w:r>
          </w:p>
        </w:tc>
        <w:tc>
          <w:tcPr>
            <w:tcW w:w="1134"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解决融资需求数量</w:t>
            </w:r>
          </w:p>
        </w:tc>
        <w:tc>
          <w:tcPr>
            <w:tcW w:w="1417"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接受服务的企业联系人</w:t>
            </w:r>
          </w:p>
        </w:tc>
        <w:tc>
          <w:tcPr>
            <w:tcW w:w="851"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联系电话</w:t>
            </w:r>
          </w:p>
        </w:tc>
        <w:tc>
          <w:tcPr>
            <w:tcW w:w="2693" w:type="dxa"/>
            <w:gridSpan w:val="3"/>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服务评价</w:t>
            </w:r>
          </w:p>
        </w:tc>
      </w:tr>
      <w:tr>
        <w:tblPrEx>
          <w:tblLayout w:type="fixed"/>
          <w:tblCellMar>
            <w:top w:w="0" w:type="dxa"/>
            <w:left w:w="108" w:type="dxa"/>
            <w:bottom w:w="0" w:type="dxa"/>
            <w:right w:w="108" w:type="dxa"/>
          </w:tblCellMar>
        </w:tblPrEx>
        <w:trPr>
          <w:trHeight w:val="480" w:hRule="atLeast"/>
        </w:trPr>
        <w:tc>
          <w:tcPr>
            <w:tcW w:w="539"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1906"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889"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1134"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1417"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851"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850" w:type="dxa"/>
            <w:tcBorders>
              <w:top w:val="nil"/>
              <w:left w:val="nil"/>
              <w:bottom w:val="single" w:color="auto" w:sz="4" w:space="0"/>
              <w:right w:val="single" w:color="auto" w:sz="4" w:space="0"/>
            </w:tcBorders>
            <w:vAlign w:val="center"/>
          </w:tcPr>
          <w:p>
            <w:pPr>
              <w:widowControl/>
              <w:rPr>
                <w:rFonts w:ascii="仿宋" w:hAnsi="仿宋" w:eastAsia="仿宋" w:cs="宋体"/>
                <w:color w:val="auto"/>
                <w:spacing w:val="-10"/>
                <w:kern w:val="0"/>
                <w:sz w:val="22"/>
                <w:szCs w:val="22"/>
                <w:highlight w:val="none"/>
              </w:rPr>
            </w:pPr>
            <w:r>
              <w:rPr>
                <w:rFonts w:hint="eastAsia" w:ascii="仿宋" w:hAnsi="仿宋" w:eastAsia="仿宋" w:cs="宋体"/>
                <w:color w:val="auto"/>
                <w:spacing w:val="-10"/>
                <w:kern w:val="0"/>
                <w:sz w:val="22"/>
                <w:szCs w:val="22"/>
                <w:highlight w:val="none"/>
              </w:rPr>
              <w:t>很满意</w:t>
            </w:r>
          </w:p>
        </w:tc>
        <w:tc>
          <w:tcPr>
            <w:tcW w:w="709"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满意</w:t>
            </w:r>
          </w:p>
        </w:tc>
        <w:tc>
          <w:tcPr>
            <w:tcW w:w="1134" w:type="dxa"/>
            <w:tcBorders>
              <w:top w:val="nil"/>
              <w:left w:val="nil"/>
              <w:bottom w:val="single" w:color="auto" w:sz="4" w:space="0"/>
              <w:right w:val="single" w:color="auto" w:sz="4" w:space="0"/>
            </w:tcBorders>
            <w:vAlign w:val="center"/>
          </w:tcPr>
          <w:p>
            <w:pPr>
              <w:widowControl/>
              <w:rPr>
                <w:rFonts w:ascii="仿宋" w:hAnsi="仿宋" w:eastAsia="仿宋" w:cs="宋体"/>
                <w:color w:val="auto"/>
                <w:spacing w:val="-10"/>
                <w:kern w:val="0"/>
                <w:sz w:val="22"/>
                <w:szCs w:val="22"/>
                <w:highlight w:val="none"/>
              </w:rPr>
            </w:pPr>
            <w:r>
              <w:rPr>
                <w:rFonts w:hint="eastAsia" w:ascii="仿宋" w:hAnsi="仿宋" w:eastAsia="仿宋" w:cs="宋体"/>
                <w:color w:val="auto"/>
                <w:spacing w:val="-14"/>
                <w:kern w:val="0"/>
                <w:sz w:val="22"/>
                <w:szCs w:val="22"/>
                <w:highlight w:val="none"/>
              </w:rPr>
              <w:t>不满意</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r>
        <w:tblPrEx>
          <w:tblLayout w:type="fixed"/>
          <w:tblCellMar>
            <w:top w:w="0" w:type="dxa"/>
            <w:left w:w="108" w:type="dxa"/>
            <w:bottom w:w="0" w:type="dxa"/>
            <w:right w:w="108" w:type="dxa"/>
          </w:tblCellMar>
        </w:tblPrEx>
        <w:trPr>
          <w:trHeight w:val="680" w:hRule="atLeast"/>
        </w:trPr>
        <w:tc>
          <w:tcPr>
            <w:tcW w:w="539" w:type="dxa"/>
            <w:tcBorders>
              <w:top w:val="nil"/>
              <w:left w:val="single" w:color="auto" w:sz="4" w:space="0"/>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906"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8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417"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1"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850"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709"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c>
          <w:tcPr>
            <w:tcW w:w="1134" w:type="dxa"/>
            <w:tcBorders>
              <w:top w:val="nil"/>
              <w:left w:val="nil"/>
              <w:bottom w:val="single" w:color="auto" w:sz="4" w:space="0"/>
              <w:right w:val="single" w:color="auto" w:sz="4" w:space="0"/>
            </w:tcBorders>
            <w:vAlign w:val="center"/>
          </w:tcPr>
          <w:p>
            <w:pPr>
              <w:widowControl/>
              <w:rPr>
                <w:rFonts w:ascii="Tahoma" w:hAnsi="Tahoma" w:cs="Tahoma"/>
                <w:color w:val="auto"/>
                <w:kern w:val="0"/>
                <w:sz w:val="22"/>
                <w:szCs w:val="22"/>
                <w:highlight w:val="none"/>
              </w:rPr>
            </w:pPr>
            <w:r>
              <w:rPr>
                <w:rFonts w:ascii="Tahoma" w:hAnsi="Tahoma" w:cs="Tahoma"/>
                <w:color w:val="auto"/>
                <w:kern w:val="0"/>
                <w:sz w:val="22"/>
                <w:szCs w:val="22"/>
                <w:highlight w:val="none"/>
              </w:rPr>
              <w:t>　</w:t>
            </w:r>
          </w:p>
        </w:tc>
      </w:tr>
    </w:tbl>
    <w:p>
      <w:pPr>
        <w:rPr>
          <w:rFonts w:ascii="方正黑体_GBK" w:eastAsia="方正黑体_GBK"/>
          <w:color w:val="auto"/>
          <w:sz w:val="32"/>
          <w:szCs w:val="32"/>
          <w:highlight w:val="none"/>
        </w:rPr>
      </w:pPr>
    </w:p>
    <w:p>
      <w:pPr>
        <w:rPr>
          <w:rFonts w:hint="eastAsia" w:ascii="方正黑体_GBK" w:eastAsia="方正黑体_GBK"/>
          <w:color w:val="auto"/>
          <w:sz w:val="32"/>
          <w:szCs w:val="32"/>
          <w:highlight w:val="none"/>
          <w:lang w:val="en-US" w:eastAsia="zh-CN"/>
        </w:rPr>
      </w:pPr>
      <w:r>
        <w:rPr>
          <w:rFonts w:hint="eastAsia" w:ascii="方正黑体_GBK" w:eastAsia="方正黑体_GBK"/>
          <w:color w:val="auto"/>
          <w:sz w:val="32"/>
          <w:szCs w:val="32"/>
          <w:highlight w:val="none"/>
        </w:rPr>
        <w:t>附件</w:t>
      </w:r>
      <w:r>
        <w:rPr>
          <w:rFonts w:hint="eastAsia" w:ascii="方正黑体_GBK" w:eastAsia="方正黑体_GBK"/>
          <w:color w:val="auto"/>
          <w:sz w:val="32"/>
          <w:szCs w:val="32"/>
          <w:highlight w:val="none"/>
          <w:lang w:val="en-US" w:eastAsia="zh-CN"/>
        </w:rPr>
        <w:t>4</w:t>
      </w:r>
    </w:p>
    <w:tbl>
      <w:tblPr>
        <w:tblStyle w:val="5"/>
        <w:tblW w:w="9796" w:type="dxa"/>
        <w:jc w:val="center"/>
        <w:tblInd w:w="0" w:type="dxa"/>
        <w:tblLayout w:type="fixed"/>
        <w:tblCellMar>
          <w:top w:w="0" w:type="dxa"/>
          <w:left w:w="108" w:type="dxa"/>
          <w:bottom w:w="0" w:type="dxa"/>
          <w:right w:w="108" w:type="dxa"/>
        </w:tblCellMar>
      </w:tblPr>
      <w:tblGrid>
        <w:gridCol w:w="2080"/>
        <w:gridCol w:w="2897"/>
        <w:gridCol w:w="323"/>
        <w:gridCol w:w="1520"/>
        <w:gridCol w:w="2976"/>
      </w:tblGrid>
      <w:tr>
        <w:tblPrEx>
          <w:tblLayout w:type="fixed"/>
          <w:tblCellMar>
            <w:top w:w="0" w:type="dxa"/>
            <w:left w:w="108" w:type="dxa"/>
            <w:bottom w:w="0" w:type="dxa"/>
            <w:right w:w="108" w:type="dxa"/>
          </w:tblCellMar>
        </w:tblPrEx>
        <w:trPr>
          <w:trHeight w:val="690" w:hRule="atLeast"/>
          <w:jc w:val="center"/>
        </w:trPr>
        <w:tc>
          <w:tcPr>
            <w:tcW w:w="9796" w:type="dxa"/>
            <w:gridSpan w:val="5"/>
            <w:tcBorders>
              <w:top w:val="nil"/>
              <w:left w:val="nil"/>
              <w:bottom w:val="nil"/>
              <w:right w:val="nil"/>
            </w:tcBorders>
            <w:vAlign w:val="center"/>
          </w:tcPr>
          <w:p>
            <w:pPr>
              <w:widowControl/>
              <w:jc w:val="center"/>
              <w:rPr>
                <w:rFonts w:ascii="方正小标宋_GBK" w:hAnsi="宋体" w:eastAsia="方正小标宋_GBK" w:cs="宋体"/>
                <w:color w:val="auto"/>
                <w:kern w:val="0"/>
                <w:sz w:val="32"/>
                <w:szCs w:val="32"/>
                <w:highlight w:val="none"/>
              </w:rPr>
            </w:pPr>
            <w:r>
              <w:rPr>
                <w:rFonts w:hint="eastAsia" w:ascii="方正小标宋_GBK" w:hAnsi="宋体" w:eastAsia="方正小标宋_GBK" w:cs="宋体"/>
                <w:color w:val="auto"/>
                <w:kern w:val="0"/>
                <w:sz w:val="32"/>
                <w:szCs w:val="32"/>
                <w:highlight w:val="none"/>
              </w:rPr>
              <w:t>_____年度企业服务情况确认表</w:t>
            </w:r>
          </w:p>
        </w:tc>
      </w:tr>
      <w:tr>
        <w:tblPrEx>
          <w:tblLayout w:type="fixed"/>
          <w:tblCellMar>
            <w:top w:w="0" w:type="dxa"/>
            <w:left w:w="108" w:type="dxa"/>
            <w:bottom w:w="0" w:type="dxa"/>
            <w:right w:w="108" w:type="dxa"/>
          </w:tblCellMar>
        </w:tblPrEx>
        <w:trPr>
          <w:trHeight w:val="300" w:hRule="atLeast"/>
          <w:jc w:val="center"/>
        </w:trPr>
        <w:tc>
          <w:tcPr>
            <w:tcW w:w="2080" w:type="dxa"/>
            <w:tcBorders>
              <w:top w:val="nil"/>
              <w:left w:val="nil"/>
              <w:bottom w:val="nil"/>
              <w:right w:val="nil"/>
            </w:tcBorders>
            <w:vAlign w:val="center"/>
          </w:tcPr>
          <w:p>
            <w:pPr>
              <w:widowControl/>
              <w:rPr>
                <w:rFonts w:ascii="方正小标宋_GBK" w:hAnsi="宋体" w:eastAsia="方正小标宋_GBK" w:cs="宋体"/>
                <w:color w:val="auto"/>
                <w:kern w:val="0"/>
                <w:sz w:val="40"/>
                <w:szCs w:val="40"/>
                <w:highlight w:val="none"/>
              </w:rPr>
            </w:pPr>
          </w:p>
        </w:tc>
        <w:tc>
          <w:tcPr>
            <w:tcW w:w="2897" w:type="dxa"/>
            <w:tcBorders>
              <w:top w:val="nil"/>
              <w:left w:val="nil"/>
              <w:bottom w:val="nil"/>
              <w:right w:val="nil"/>
            </w:tcBorders>
            <w:vAlign w:val="center"/>
          </w:tcPr>
          <w:p>
            <w:pPr>
              <w:widowControl/>
              <w:rPr>
                <w:rFonts w:ascii="方正小标宋_GBK" w:hAnsi="宋体" w:eastAsia="方正小标宋_GBK" w:cs="宋体"/>
                <w:color w:val="auto"/>
                <w:kern w:val="0"/>
                <w:sz w:val="40"/>
                <w:szCs w:val="40"/>
                <w:highlight w:val="none"/>
              </w:rPr>
            </w:pPr>
          </w:p>
        </w:tc>
        <w:tc>
          <w:tcPr>
            <w:tcW w:w="1843" w:type="dxa"/>
            <w:gridSpan w:val="2"/>
            <w:tcBorders>
              <w:top w:val="nil"/>
              <w:left w:val="nil"/>
              <w:bottom w:val="nil"/>
              <w:right w:val="nil"/>
            </w:tcBorders>
            <w:vAlign w:val="center"/>
          </w:tcPr>
          <w:p>
            <w:pPr>
              <w:widowControl/>
              <w:rPr>
                <w:rFonts w:ascii="方正小标宋_GBK" w:hAnsi="宋体" w:eastAsia="方正小标宋_GBK" w:cs="宋体"/>
                <w:color w:val="auto"/>
                <w:kern w:val="0"/>
                <w:sz w:val="40"/>
                <w:szCs w:val="40"/>
                <w:highlight w:val="none"/>
              </w:rPr>
            </w:pPr>
          </w:p>
        </w:tc>
        <w:tc>
          <w:tcPr>
            <w:tcW w:w="2976" w:type="dxa"/>
            <w:tcBorders>
              <w:top w:val="nil"/>
              <w:left w:val="nil"/>
              <w:bottom w:val="nil"/>
              <w:right w:val="nil"/>
            </w:tcBorders>
            <w:vAlign w:val="center"/>
          </w:tcPr>
          <w:p>
            <w:pPr>
              <w:widowControl/>
              <w:rPr>
                <w:rFonts w:ascii="方正小标宋_GBK" w:hAnsi="宋体" w:eastAsia="方正小标宋_GBK" w:cs="宋体"/>
                <w:color w:val="auto"/>
                <w:kern w:val="0"/>
                <w:sz w:val="40"/>
                <w:szCs w:val="40"/>
                <w:highlight w:val="none"/>
              </w:rPr>
            </w:pPr>
          </w:p>
        </w:tc>
      </w:tr>
      <w:tr>
        <w:tblPrEx>
          <w:tblLayout w:type="fixed"/>
          <w:tblCellMar>
            <w:top w:w="0" w:type="dxa"/>
            <w:left w:w="108" w:type="dxa"/>
            <w:bottom w:w="0" w:type="dxa"/>
            <w:right w:w="108" w:type="dxa"/>
          </w:tblCellMar>
        </w:tblPrEx>
        <w:trPr>
          <w:trHeight w:val="900" w:hRule="atLeast"/>
          <w:jc w:val="center"/>
        </w:trPr>
        <w:tc>
          <w:tcPr>
            <w:tcW w:w="2080"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接受服务的      企业名称</w:t>
            </w:r>
          </w:p>
        </w:tc>
        <w:tc>
          <w:tcPr>
            <w:tcW w:w="2897" w:type="dxa"/>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c>
          <w:tcPr>
            <w:tcW w:w="1843" w:type="dxa"/>
            <w:gridSpan w:val="2"/>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企业地址</w:t>
            </w:r>
          </w:p>
        </w:tc>
        <w:tc>
          <w:tcPr>
            <w:tcW w:w="2976" w:type="dxa"/>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900"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法定代表人</w:t>
            </w:r>
          </w:p>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/负责人</w:t>
            </w:r>
          </w:p>
        </w:tc>
        <w:tc>
          <w:tcPr>
            <w:tcW w:w="2897"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c>
          <w:tcPr>
            <w:tcW w:w="1843" w:type="dxa"/>
            <w:gridSpan w:val="2"/>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联系方式</w:t>
            </w:r>
          </w:p>
        </w:tc>
        <w:tc>
          <w:tcPr>
            <w:tcW w:w="2976"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900"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联系人</w:t>
            </w:r>
          </w:p>
        </w:tc>
        <w:tc>
          <w:tcPr>
            <w:tcW w:w="2897"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c>
          <w:tcPr>
            <w:tcW w:w="1843" w:type="dxa"/>
            <w:gridSpan w:val="2"/>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联系方式</w:t>
            </w:r>
          </w:p>
        </w:tc>
        <w:tc>
          <w:tcPr>
            <w:tcW w:w="2976"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1635"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企业的服务需求</w:t>
            </w:r>
          </w:p>
        </w:tc>
        <w:tc>
          <w:tcPr>
            <w:tcW w:w="7716" w:type="dxa"/>
            <w:gridSpan w:val="4"/>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900"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是否签订服务合同</w:t>
            </w:r>
          </w:p>
        </w:tc>
        <w:tc>
          <w:tcPr>
            <w:tcW w:w="3220" w:type="dxa"/>
            <w:gridSpan w:val="2"/>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是□    否□</w:t>
            </w:r>
          </w:p>
        </w:tc>
        <w:tc>
          <w:tcPr>
            <w:tcW w:w="1520"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服务性质</w:t>
            </w:r>
          </w:p>
        </w:tc>
        <w:tc>
          <w:tcPr>
            <w:tcW w:w="2976" w:type="dxa"/>
            <w:tcBorders>
              <w:top w:val="nil"/>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免费服务□  收费服务□</w:t>
            </w:r>
          </w:p>
        </w:tc>
      </w:tr>
      <w:tr>
        <w:tblPrEx>
          <w:tblLayout w:type="fixed"/>
          <w:tblCellMar>
            <w:top w:w="0" w:type="dxa"/>
            <w:left w:w="108" w:type="dxa"/>
            <w:bottom w:w="0" w:type="dxa"/>
            <w:right w:w="108" w:type="dxa"/>
          </w:tblCellMar>
        </w:tblPrEx>
        <w:trPr>
          <w:trHeight w:val="990"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xml:space="preserve">服务项目 </w:t>
            </w:r>
          </w:p>
        </w:tc>
        <w:tc>
          <w:tcPr>
            <w:tcW w:w="7716" w:type="dxa"/>
            <w:gridSpan w:val="4"/>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u w:val="single"/>
              </w:rPr>
            </w:pPr>
            <w:r>
              <w:rPr>
                <w:rFonts w:hint="eastAsia" w:ascii="仿宋" w:hAnsi="仿宋" w:eastAsia="仿宋" w:cs="Tahoma"/>
                <w:color w:val="auto"/>
                <w:kern w:val="0"/>
                <w:sz w:val="22"/>
                <w:szCs w:val="22"/>
                <w:highlight w:val="none"/>
              </w:rPr>
              <w:t>融资政策宣传解读</w:t>
            </w:r>
            <w:r>
              <w:rPr>
                <w:rFonts w:hint="eastAsia" w:ascii="仿宋" w:hAnsi="仿宋" w:eastAsia="仿宋" w:cs="宋体"/>
                <w:color w:val="auto"/>
                <w:kern w:val="0"/>
                <w:sz w:val="22"/>
                <w:szCs w:val="22"/>
                <w:highlight w:val="none"/>
              </w:rPr>
              <w:t>□</w:t>
            </w:r>
            <w:r>
              <w:rPr>
                <w:rFonts w:hint="eastAsia" w:ascii="仿宋" w:hAnsi="仿宋" w:eastAsia="仿宋" w:cs="Tahoma"/>
                <w:color w:val="auto"/>
                <w:kern w:val="0"/>
                <w:sz w:val="22"/>
                <w:szCs w:val="22"/>
                <w:highlight w:val="none"/>
              </w:rPr>
              <w:t xml:space="preserve">  融资信息咨询</w:t>
            </w:r>
            <w:r>
              <w:rPr>
                <w:rFonts w:hint="eastAsia" w:ascii="仿宋" w:hAnsi="仿宋" w:eastAsia="仿宋" w:cs="宋体"/>
                <w:color w:val="auto"/>
                <w:kern w:val="0"/>
                <w:sz w:val="22"/>
                <w:szCs w:val="22"/>
                <w:highlight w:val="none"/>
              </w:rPr>
              <w:t>□</w:t>
            </w:r>
            <w:r>
              <w:rPr>
                <w:rFonts w:hint="eastAsia" w:ascii="仿宋" w:hAnsi="仿宋" w:eastAsia="仿宋" w:cs="Tahoma"/>
                <w:color w:val="auto"/>
                <w:kern w:val="0"/>
                <w:sz w:val="22"/>
                <w:szCs w:val="22"/>
                <w:highlight w:val="none"/>
              </w:rPr>
              <w:t xml:space="preserve">  投融资推介对接</w:t>
            </w:r>
            <w:r>
              <w:rPr>
                <w:rFonts w:hint="eastAsia" w:ascii="仿宋" w:hAnsi="仿宋" w:eastAsia="仿宋" w:cs="宋体"/>
                <w:color w:val="auto"/>
                <w:kern w:val="0"/>
                <w:sz w:val="22"/>
                <w:szCs w:val="22"/>
                <w:highlight w:val="none"/>
              </w:rPr>
              <w:t>□</w:t>
            </w:r>
            <w:r>
              <w:rPr>
                <w:rFonts w:hint="eastAsia" w:ascii="仿宋" w:hAnsi="仿宋" w:eastAsia="仿宋" w:cs="Tahoma"/>
                <w:color w:val="auto"/>
                <w:kern w:val="0"/>
                <w:sz w:val="22"/>
                <w:szCs w:val="22"/>
                <w:highlight w:val="none"/>
              </w:rPr>
              <w:t xml:space="preserve">  融资培训□   其他□</w:t>
            </w:r>
          </w:p>
        </w:tc>
      </w:tr>
      <w:tr>
        <w:tblPrEx>
          <w:tblLayout w:type="fixed"/>
          <w:tblCellMar>
            <w:top w:w="0" w:type="dxa"/>
            <w:left w:w="108" w:type="dxa"/>
            <w:bottom w:w="0" w:type="dxa"/>
            <w:right w:w="108" w:type="dxa"/>
          </w:tblCellMar>
        </w:tblPrEx>
        <w:trPr>
          <w:trHeight w:val="1167"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主要的服务内容</w:t>
            </w:r>
          </w:p>
        </w:tc>
        <w:tc>
          <w:tcPr>
            <w:tcW w:w="7716" w:type="dxa"/>
            <w:gridSpan w:val="4"/>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750" w:hRule="atLeast"/>
          <w:jc w:val="center"/>
        </w:trPr>
        <w:tc>
          <w:tcPr>
            <w:tcW w:w="2080" w:type="dxa"/>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服务满意情况</w:t>
            </w:r>
          </w:p>
        </w:tc>
        <w:tc>
          <w:tcPr>
            <w:tcW w:w="7716" w:type="dxa"/>
            <w:gridSpan w:val="4"/>
            <w:tcBorders>
              <w:top w:val="single" w:color="auto" w:sz="4" w:space="0"/>
              <w:left w:val="nil"/>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xml:space="preserve">很满意□      满意□      不满意□  </w:t>
            </w:r>
          </w:p>
        </w:tc>
      </w:tr>
      <w:tr>
        <w:tblPrEx>
          <w:tblLayout w:type="fixed"/>
          <w:tblCellMar>
            <w:top w:w="0" w:type="dxa"/>
            <w:left w:w="108" w:type="dxa"/>
            <w:bottom w:w="0" w:type="dxa"/>
            <w:right w:w="108" w:type="dxa"/>
          </w:tblCellMar>
        </w:tblPrEx>
        <w:trPr>
          <w:trHeight w:val="1003" w:hRule="atLeast"/>
          <w:jc w:val="center"/>
        </w:trPr>
        <w:tc>
          <w:tcPr>
            <w:tcW w:w="2080" w:type="dxa"/>
            <w:vMerge w:val="restart"/>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接受服务企业</w:t>
            </w:r>
          </w:p>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确认情况</w:t>
            </w:r>
          </w:p>
        </w:tc>
        <w:tc>
          <w:tcPr>
            <w:tcW w:w="7716" w:type="dxa"/>
            <w:gridSpan w:val="4"/>
            <w:tcBorders>
              <w:top w:val="single" w:color="auto" w:sz="4" w:space="0"/>
              <w:left w:val="nil"/>
              <w:bottom w:val="nil"/>
              <w:right w:val="single" w:color="000000" w:sz="4" w:space="0"/>
            </w:tcBorders>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w:t>
            </w:r>
          </w:p>
        </w:tc>
      </w:tr>
      <w:tr>
        <w:tblPrEx>
          <w:tblLayout w:type="fixed"/>
          <w:tblCellMar>
            <w:top w:w="0" w:type="dxa"/>
            <w:left w:w="108" w:type="dxa"/>
            <w:bottom w:w="0" w:type="dxa"/>
            <w:right w:w="108" w:type="dxa"/>
          </w:tblCellMar>
        </w:tblPrEx>
        <w:trPr>
          <w:trHeight w:val="480" w:hRule="atLeast"/>
          <w:jc w:val="center"/>
        </w:trPr>
        <w:tc>
          <w:tcPr>
            <w:tcW w:w="2080"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7716" w:type="dxa"/>
            <w:gridSpan w:val="4"/>
            <w:tcBorders>
              <w:top w:val="nil"/>
              <w:left w:val="nil"/>
              <w:bottom w:val="nil"/>
              <w:right w:val="single" w:color="000000"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xml:space="preserve">                                   负责人签字（盖章）：</w:t>
            </w:r>
          </w:p>
        </w:tc>
      </w:tr>
      <w:tr>
        <w:tblPrEx>
          <w:tblLayout w:type="fixed"/>
          <w:tblCellMar>
            <w:top w:w="0" w:type="dxa"/>
            <w:left w:w="108" w:type="dxa"/>
            <w:bottom w:w="0" w:type="dxa"/>
            <w:right w:w="108" w:type="dxa"/>
          </w:tblCellMar>
        </w:tblPrEx>
        <w:trPr>
          <w:trHeight w:val="450" w:hRule="atLeast"/>
          <w:jc w:val="center"/>
        </w:trPr>
        <w:tc>
          <w:tcPr>
            <w:tcW w:w="2080" w:type="dxa"/>
            <w:vMerge w:val="continue"/>
            <w:tcBorders>
              <w:top w:val="nil"/>
              <w:left w:val="single" w:color="auto" w:sz="4" w:space="0"/>
              <w:bottom w:val="single" w:color="auto" w:sz="4" w:space="0"/>
              <w:right w:val="single" w:color="auto" w:sz="4" w:space="0"/>
            </w:tcBorders>
            <w:vAlign w:val="center"/>
          </w:tcPr>
          <w:p>
            <w:pPr>
              <w:widowControl/>
              <w:rPr>
                <w:rFonts w:ascii="仿宋" w:hAnsi="仿宋" w:eastAsia="仿宋" w:cs="宋体"/>
                <w:color w:val="auto"/>
                <w:kern w:val="0"/>
                <w:sz w:val="22"/>
                <w:szCs w:val="22"/>
                <w:highlight w:val="none"/>
              </w:rPr>
            </w:pPr>
          </w:p>
        </w:tc>
        <w:tc>
          <w:tcPr>
            <w:tcW w:w="7716" w:type="dxa"/>
            <w:gridSpan w:val="4"/>
            <w:tcBorders>
              <w:top w:val="nil"/>
              <w:left w:val="nil"/>
              <w:bottom w:val="single" w:color="auto" w:sz="4" w:space="0"/>
              <w:right w:val="single" w:color="000000" w:sz="4" w:space="0"/>
            </w:tcBorders>
            <w:vAlign w:val="center"/>
          </w:tcPr>
          <w:p>
            <w:pPr>
              <w:widowControl/>
              <w:rPr>
                <w:rFonts w:ascii="仿宋" w:hAnsi="仿宋" w:eastAsia="仿宋" w:cs="宋体"/>
                <w:color w:val="auto"/>
                <w:kern w:val="0"/>
                <w:sz w:val="22"/>
                <w:szCs w:val="22"/>
                <w:highlight w:val="none"/>
              </w:rPr>
            </w:pPr>
            <w:r>
              <w:rPr>
                <w:rFonts w:hint="eastAsia" w:ascii="仿宋" w:hAnsi="仿宋" w:eastAsia="仿宋" w:cs="宋体"/>
                <w:color w:val="auto"/>
                <w:kern w:val="0"/>
                <w:sz w:val="22"/>
                <w:szCs w:val="22"/>
                <w:highlight w:val="none"/>
              </w:rPr>
              <w:t xml:space="preserve">                                  年       月        日</w:t>
            </w:r>
          </w:p>
        </w:tc>
      </w:tr>
    </w:tbl>
    <w:p>
      <w:pPr>
        <w:rPr>
          <w:rFonts w:hint="default"/>
          <w:color w:val="auto"/>
          <w:lang w:eastAsia="zh-CN"/>
        </w:rPr>
      </w:pP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8281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t>- 40 -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t>- 40 -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bookmarkStart w:id="0" w:name="_GoBack"/>
  </w:p>
  <w:bookmarkEnd w:id="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33FA0"/>
    <w:rsid w:val="074A007B"/>
    <w:rsid w:val="07BD1E6B"/>
    <w:rsid w:val="0A8F0613"/>
    <w:rsid w:val="0AC80F63"/>
    <w:rsid w:val="0BB609F1"/>
    <w:rsid w:val="0F945D04"/>
    <w:rsid w:val="11F5696D"/>
    <w:rsid w:val="131471B9"/>
    <w:rsid w:val="18BD6759"/>
    <w:rsid w:val="1FC1265C"/>
    <w:rsid w:val="2335428D"/>
    <w:rsid w:val="27E23E0A"/>
    <w:rsid w:val="2CB16CB0"/>
    <w:rsid w:val="34D43960"/>
    <w:rsid w:val="36020354"/>
    <w:rsid w:val="3D506E34"/>
    <w:rsid w:val="418E083C"/>
    <w:rsid w:val="44673AF8"/>
    <w:rsid w:val="47174D33"/>
    <w:rsid w:val="4C237579"/>
    <w:rsid w:val="4CCD3982"/>
    <w:rsid w:val="613379D5"/>
    <w:rsid w:val="631D162F"/>
    <w:rsid w:val="64AF2E7C"/>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