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十三、重庆市小微企业票据贴现中心承办银行绩效奖补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spacing w:after="0" w:line="560" w:lineRule="exact"/>
        <w:ind w:firstLine="640" w:firstLineChars="200"/>
        <w:jc w:val="both"/>
        <w:rPr>
          <w:rFonts w:hint="eastAsia"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rPr>
        <w:t>小微企业票据贴现中心承办银行</w:t>
      </w:r>
      <w:r>
        <w:rPr>
          <w:rFonts w:hint="eastAsia" w:ascii="Times New Roman" w:hAnsi="Times New Roman" w:eastAsia="方正仿宋_GBK" w:cs="Times New Roman"/>
          <w:color w:val="auto"/>
          <w:sz w:val="32"/>
          <w:szCs w:val="32"/>
          <w:highlight w:val="none"/>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after="0" w:line="560" w:lineRule="exact"/>
        <w:ind w:firstLine="640" w:firstLineChars="200"/>
        <w:jc w:val="both"/>
        <w:rPr>
          <w:rFonts w:hint="eastAsia" w:ascii="方正仿宋_GBK" w:hAnsi="方正仿宋_GBK" w:eastAsia="方正仿宋_GBK" w:cs="方正仿宋_GBK"/>
          <w:b w:val="0"/>
          <w:bCs w:val="0"/>
          <w:color w:val="auto"/>
          <w:sz w:val="32"/>
          <w:szCs w:val="32"/>
          <w:lang w:eastAsia="zh-CN"/>
        </w:rPr>
      </w:pPr>
      <w:r>
        <w:rPr>
          <w:rFonts w:hint="default" w:ascii="Times New Roman" w:hAnsi="Times New Roman" w:eastAsia="方正仿宋_GBK" w:cs="Times New Roman"/>
          <w:color w:val="auto"/>
          <w:sz w:val="32"/>
          <w:szCs w:val="32"/>
          <w:highlight w:val="none"/>
        </w:rPr>
        <w:t>重庆市经济和信息化委员会授牌成立的小微企业票据贴现中心承办银行金融机构</w:t>
      </w:r>
      <w:r>
        <w:rPr>
          <w:rFonts w:hint="eastAsia" w:ascii="Times New Roman" w:hAnsi="Times New Roman" w:eastAsia="方正仿宋_GBK" w:cs="Times New Roman"/>
          <w:color w:val="auto"/>
          <w:sz w:val="32"/>
          <w:szCs w:val="32"/>
          <w:highlight w:val="none"/>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（三）奖补标准。</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根据小微企业票据贴现中心承办银行2019年度为小微企业办理票据贴现业务的运行绩效，以2019年度小微企业票据贴现总额及办理小微企业票据贴现笔数作为评价指标，按以下方式给予承办银行奖补：</w:t>
      </w:r>
    </w:p>
    <w:p>
      <w:pPr>
        <w:spacing w:after="0" w:line="560" w:lineRule="exact"/>
        <w:ind w:firstLine="640" w:firstLineChars="200"/>
        <w:jc w:val="both"/>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rPr>
        <w:t>2019年度小微企业票据贴现总额</w:t>
      </w:r>
      <w:r>
        <w:rPr>
          <w:rFonts w:hint="eastAsia" w:eastAsia="方正仿宋_GBK" w:cs="Times New Roman"/>
          <w:color w:val="auto"/>
          <w:sz w:val="32"/>
          <w:szCs w:val="32"/>
          <w:highlight w:val="none"/>
          <w:lang w:eastAsia="zh-CN"/>
        </w:rPr>
        <w:t>。</w:t>
      </w:r>
    </w:p>
    <w:p>
      <w:pPr>
        <w:spacing w:after="0" w:line="560" w:lineRule="exact"/>
        <w:ind w:firstLine="640" w:firstLineChars="200"/>
        <w:jc w:val="both"/>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eastAsia="zh-CN"/>
        </w:rPr>
        <w:t>（</w:t>
      </w:r>
      <w:r>
        <w:rPr>
          <w:rFonts w:hint="eastAsia"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基本量奖补</w:t>
      </w:r>
      <w:r>
        <w:rPr>
          <w:rFonts w:hint="eastAsia" w:ascii="Times New Roman" w:hAnsi="Times New Roman" w:eastAsia="方正仿宋_GBK" w:cs="Times New Roman"/>
          <w:color w:val="auto"/>
          <w:sz w:val="32"/>
          <w:szCs w:val="32"/>
          <w:highlight w:val="none"/>
          <w:lang w:eastAsia="zh-CN"/>
        </w:rPr>
        <w:t>。</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达15亿元的，给予40万元的奖补，每增加1亿元给予1万元的奖补，未达15亿元的不给予奖补。</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eastAsia="zh-CN"/>
        </w:rPr>
        <w:t>（</w:t>
      </w:r>
      <w:r>
        <w:rPr>
          <w:rFonts w:hint="eastAsia"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增量奖补</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超过2018年同期小微企业票据贴现总额的，每超过1亿元给予2万元的奖补。</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基本量奖补和增量奖补之和不超过150万元。</w:t>
      </w:r>
    </w:p>
    <w:p>
      <w:pPr>
        <w:spacing w:after="0" w:line="560" w:lineRule="exact"/>
        <w:ind w:firstLine="640" w:firstLineChars="200"/>
        <w:jc w:val="both"/>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rPr>
        <w:t>2019年度办理小微企业票据贴现笔数</w:t>
      </w:r>
      <w:r>
        <w:rPr>
          <w:rFonts w:hint="eastAsia" w:eastAsia="方正仿宋_GBK" w:cs="Times New Roman"/>
          <w:color w:val="auto"/>
          <w:sz w:val="32"/>
          <w:szCs w:val="32"/>
          <w:highlight w:val="none"/>
          <w:lang w:eastAsia="zh-CN"/>
        </w:rPr>
        <w:t>。</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2019年度办理小微企业票据贴现笔数达1000笔的，给予10万元的奖励，每增加100笔给予0.5万元的奖补，未达1000笔的不给予奖补。该项奖补不超过150万元。</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承办银行奖补金额为上述两项奖补金额之和，最高不超过300万元。</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spacing w:after="0" w:line="560" w:lineRule="exact"/>
        <w:ind w:firstLine="640" w:firstLineChars="200"/>
        <w:jc w:val="both"/>
        <w:rPr>
          <w:rFonts w:hint="eastAsia"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rPr>
        <w:t>融资服务处</w:t>
      </w:r>
      <w:r>
        <w:rPr>
          <w:rFonts w:hint="eastAsia"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杜宏俊</w:t>
      </w:r>
      <w:r>
        <w:rPr>
          <w:rFonts w:hint="eastAsia" w:eastAsia="方正仿宋_GBK" w:cs="Times New Roman"/>
          <w:color w:val="auto"/>
          <w:sz w:val="32"/>
          <w:szCs w:val="32"/>
          <w:highlight w:val="none"/>
          <w:lang w:eastAsia="zh-CN"/>
        </w:rPr>
        <w:t>，</w:t>
      </w:r>
      <w:r>
        <w:rPr>
          <w:rFonts w:hint="default" w:ascii="Times New Roman" w:hAnsi="Times New Roman" w:eastAsia="方正仿宋_GBK" w:cs="Times New Roman"/>
          <w:i w:val="0"/>
          <w:caps w:val="0"/>
          <w:color w:val="auto"/>
          <w:spacing w:val="0"/>
          <w:sz w:val="32"/>
          <w:szCs w:val="32"/>
          <w:highlight w:val="none"/>
          <w:shd w:val="clear" w:fill="FFFFFF"/>
        </w:rPr>
        <w:t>63897688</w:t>
      </w:r>
      <w:r>
        <w:rPr>
          <w:rFonts w:hint="eastAsia" w:eastAsia="方正仿宋_GBK" w:cs="Times New Roman"/>
          <w:i w:val="0"/>
          <w:caps w:val="0"/>
          <w:color w:val="auto"/>
          <w:spacing w:val="0"/>
          <w:sz w:val="32"/>
          <w:szCs w:val="32"/>
          <w:highlight w:val="none"/>
          <w:shd w:val="clear" w:fill="FFFFFF"/>
          <w:lang w:eastAsia="zh-CN"/>
        </w:rPr>
        <w:t>。</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详见附件十三。</w:t>
      </w:r>
    </w:p>
    <w:p>
      <w:pPr>
        <w:jc w:val="left"/>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6"/>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7"/>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r>
        <w:rPr>
          <w:rFonts w:hint="eastAsia" w:ascii="方正黑体_GBK" w:hAnsi="方正黑体_GBK" w:eastAsia="方正黑体_GBK" w:cs="方正黑体_GBK"/>
          <w:color w:val="auto"/>
          <w:kern w:val="0"/>
          <w:sz w:val="32"/>
          <w:szCs w:val="32"/>
          <w:lang w:eastAsia="zh-CN"/>
        </w:rPr>
        <w:t>附件</w:t>
      </w:r>
    </w:p>
    <w:p>
      <w:pPr>
        <w:spacing w:after="0" w:line="640" w:lineRule="exact"/>
        <w:jc w:val="center"/>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 w:val="0"/>
          <w:bCs/>
          <w:color w:val="auto"/>
          <w:sz w:val="32"/>
          <w:szCs w:val="32"/>
          <w:highlight w:val="none"/>
          <w:lang w:eastAsia="zh-CN"/>
        </w:rPr>
        <w:t>十三、</w:t>
      </w:r>
      <w:r>
        <w:rPr>
          <w:rFonts w:hint="eastAsia" w:ascii="方正黑体_GBK" w:hAnsi="方正黑体_GBK" w:eastAsia="方正黑体_GBK" w:cs="方正黑体_GBK"/>
          <w:b w:val="0"/>
          <w:bCs/>
          <w:color w:val="auto"/>
          <w:sz w:val="32"/>
          <w:szCs w:val="32"/>
          <w:highlight w:val="none"/>
        </w:rPr>
        <w:t>重庆市小微企业票据贴现中心承办银行</w:t>
      </w:r>
      <w:r>
        <w:rPr>
          <w:rFonts w:hint="eastAsia" w:ascii="方正黑体_GBK" w:hAnsi="方正黑体_GBK" w:eastAsia="方正黑体_GBK" w:cs="方正黑体_GBK"/>
          <w:b w:val="0"/>
          <w:bCs/>
          <w:color w:val="auto"/>
          <w:sz w:val="32"/>
          <w:szCs w:val="32"/>
          <w:highlight w:val="none"/>
          <w:lang w:eastAsia="zh-CN"/>
        </w:rPr>
        <w:t>申报材料</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eastAsia="zh-CN"/>
        </w:rPr>
        <w:t>（一）</w:t>
      </w:r>
      <w:r>
        <w:rPr>
          <w:rFonts w:hint="default" w:ascii="Times New Roman" w:hAnsi="Times New Roman" w:eastAsia="方正仿宋_GBK" w:cs="Times New Roman"/>
          <w:color w:val="auto"/>
          <w:sz w:val="32"/>
          <w:szCs w:val="32"/>
          <w:highlight w:val="none"/>
        </w:rPr>
        <w:t>2019年重庆市小微企业票据贴现中心绩效奖补资金申请报告（含承办银行基本情况、开展小微企业票据贴现业务的主要措施、成效等内容，加盖申报单位公章）；</w:t>
      </w:r>
    </w:p>
    <w:p>
      <w:p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eastAsia" w:eastAsia="方正仿宋_GBK" w:cs="Times New Roman"/>
          <w:color w:val="auto"/>
          <w:sz w:val="32"/>
          <w:szCs w:val="32"/>
          <w:highlight w:val="none"/>
          <w:lang w:eastAsia="zh-CN"/>
        </w:rPr>
        <w:t>（二）</w:t>
      </w:r>
      <w:r>
        <w:rPr>
          <w:rFonts w:hint="default" w:ascii="Times New Roman" w:hAnsi="Times New Roman" w:eastAsia="方正仿宋_GBK" w:cs="Times New Roman"/>
          <w:color w:val="auto"/>
          <w:sz w:val="32"/>
          <w:szCs w:val="32"/>
          <w:highlight w:val="none"/>
        </w:rPr>
        <w:t>2019年度小微企业票据贴现总额、前一年同期小微企业票据贴现总额、上年度办理小微企业票据贴现笔数的佐证资料；</w:t>
      </w:r>
    </w:p>
    <w:p>
      <w:pPr>
        <w:numPr>
          <w:ilvl w:val="0"/>
          <w:numId w:val="0"/>
        </w:numPr>
        <w:spacing w:after="0" w:line="560" w:lineRule="exact"/>
        <w:ind w:firstLine="640" w:firstLineChars="200"/>
        <w:jc w:val="both"/>
        <w:rPr>
          <w:rFonts w:hint="default" w:ascii="Times New Roman" w:hAnsi="Times New Roman" w:eastAsia="方正仿宋_GBK" w:cs="Times New Roman"/>
          <w:color w:val="auto"/>
          <w:sz w:val="32"/>
          <w:szCs w:val="32"/>
          <w:highlight w:val="none"/>
        </w:rPr>
      </w:pPr>
      <w:r>
        <w:rPr>
          <w:rFonts w:hint="eastAsia" w:eastAsia="方正仿宋_GBK" w:cs="Times New Roman"/>
          <w:color w:val="auto"/>
          <w:sz w:val="32"/>
          <w:szCs w:val="32"/>
          <w:highlight w:val="none"/>
          <w:lang w:eastAsia="zh-CN"/>
        </w:rPr>
        <w:t>（三）</w:t>
      </w:r>
      <w:r>
        <w:rPr>
          <w:rFonts w:hint="default" w:ascii="Times New Roman" w:hAnsi="Times New Roman" w:eastAsia="方正仿宋_GBK" w:cs="Times New Roman"/>
          <w:color w:val="auto"/>
          <w:sz w:val="32"/>
          <w:szCs w:val="32"/>
          <w:highlight w:val="none"/>
        </w:rPr>
        <w:t>申报资料真实性声明（见附件）。</w:t>
      </w:r>
    </w:p>
    <w:p>
      <w:pPr>
        <w:pStyle w:val="2"/>
        <w:numPr>
          <w:ilvl w:val="0"/>
          <w:numId w:val="0"/>
        </w:numPr>
        <w:rPr>
          <w:rFonts w:hint="default"/>
          <w:color w:val="auto"/>
        </w:rPr>
      </w:pPr>
    </w:p>
    <w:p>
      <w:pPr>
        <w:rPr>
          <w:rFonts w:hint="default"/>
          <w:color w:val="auto"/>
        </w:rPr>
      </w:pPr>
    </w:p>
    <w:p>
      <w:pPr>
        <w:spacing w:line="560" w:lineRule="exact"/>
        <w:ind w:left="780"/>
        <w:rPr>
          <w:rFonts w:hint="default" w:ascii="Times New Roman" w:hAnsi="Times New Roman" w:eastAsia="方正仿宋_GBK" w:cs="Times New Roman"/>
          <w:color w:val="auto"/>
          <w:sz w:val="32"/>
          <w:szCs w:val="32"/>
          <w:highlight w:val="none"/>
        </w:rPr>
      </w:pPr>
    </w:p>
    <w:p>
      <w:pPr>
        <w:pStyle w:val="2"/>
        <w:rPr>
          <w:rFonts w:hint="default" w:ascii="Times New Roman" w:hAnsi="Times New Roman" w:eastAsia="方正仿宋_GBK" w:cs="Times New Roman"/>
          <w:color w:val="auto"/>
          <w:sz w:val="32"/>
          <w:szCs w:val="32"/>
          <w:highlight w:val="none"/>
        </w:rPr>
      </w:pPr>
    </w:p>
    <w:p>
      <w:pPr>
        <w:rPr>
          <w:rFonts w:hint="default" w:ascii="Times New Roman" w:hAnsi="Times New Roman" w:eastAsia="方正仿宋_GBK" w:cs="Times New Roman"/>
          <w:color w:val="auto"/>
          <w:sz w:val="32"/>
          <w:szCs w:val="32"/>
          <w:highlight w:val="none"/>
        </w:rPr>
      </w:pPr>
    </w:p>
    <w:p>
      <w:pPr>
        <w:pStyle w:val="2"/>
        <w:rPr>
          <w:rFonts w:hint="default" w:ascii="Times New Roman" w:hAnsi="Times New Roman" w:eastAsia="方正仿宋_GBK" w:cs="Times New Roman"/>
          <w:color w:val="auto"/>
          <w:sz w:val="32"/>
          <w:szCs w:val="32"/>
          <w:highlight w:val="none"/>
        </w:rPr>
      </w:pPr>
    </w:p>
    <w:p>
      <w:pPr>
        <w:rPr>
          <w:rFonts w:hint="default" w:ascii="Times New Roman" w:hAnsi="Times New Roman" w:eastAsia="方正仿宋_GBK" w:cs="Times New Roman"/>
          <w:color w:val="auto"/>
          <w:sz w:val="32"/>
          <w:szCs w:val="32"/>
          <w:highlight w:val="none"/>
        </w:rPr>
      </w:pPr>
    </w:p>
    <w:p>
      <w:pPr>
        <w:pStyle w:val="2"/>
        <w:rPr>
          <w:rFonts w:hint="default" w:ascii="Times New Roman" w:hAnsi="Times New Roman" w:eastAsia="方正仿宋_GBK" w:cs="Times New Roman"/>
          <w:color w:val="auto"/>
          <w:sz w:val="32"/>
          <w:szCs w:val="32"/>
          <w:highlight w:val="none"/>
        </w:rPr>
      </w:pPr>
    </w:p>
    <w:p>
      <w:pPr>
        <w:rPr>
          <w:rFonts w:hint="default" w:ascii="Times New Roman" w:hAnsi="Times New Roman" w:eastAsia="方正仿宋_GBK" w:cs="Times New Roman"/>
          <w:color w:val="auto"/>
          <w:sz w:val="32"/>
          <w:szCs w:val="32"/>
          <w:highlight w:val="none"/>
        </w:rPr>
      </w:pPr>
    </w:p>
    <w:p>
      <w:pPr>
        <w:spacing w:line="560" w:lineRule="exact"/>
        <w:rPr>
          <w:rFonts w:hint="eastAsia" w:ascii="方正黑体_GBK" w:hAnsi="方正黑体_GBK" w:eastAsia="方正黑体_GBK" w:cs="方正黑体_GBK"/>
          <w:color w:val="auto"/>
          <w:sz w:val="32"/>
          <w:szCs w:val="32"/>
          <w:highlight w:val="none"/>
        </w:rPr>
      </w:pPr>
    </w:p>
    <w:p>
      <w:pPr>
        <w:spacing w:line="560" w:lineRule="exact"/>
        <w:rPr>
          <w:rFonts w:hint="eastAsia" w:ascii="方正黑体_GBK" w:hAnsi="方正黑体_GBK" w:eastAsia="方正黑体_GBK" w:cs="方正黑体_GBK"/>
          <w:color w:val="auto"/>
          <w:sz w:val="32"/>
          <w:szCs w:val="32"/>
          <w:highlight w:val="none"/>
        </w:rPr>
      </w:pPr>
    </w:p>
    <w:p>
      <w:pPr>
        <w:spacing w:line="560" w:lineRule="exact"/>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附件</w:t>
      </w:r>
    </w:p>
    <w:p>
      <w:pPr>
        <w:spacing w:line="640" w:lineRule="exact"/>
        <w:jc w:val="center"/>
        <w:rPr>
          <w:rFonts w:hint="default" w:ascii="Times New Roman" w:hAnsi="Times New Roman" w:eastAsia="方正小标宋_GBK" w:cs="Times New Roman"/>
          <w:b w:val="0"/>
          <w:bCs/>
          <w:color w:val="auto"/>
          <w:sz w:val="44"/>
          <w:szCs w:val="44"/>
          <w:highlight w:val="none"/>
        </w:rPr>
      </w:pPr>
    </w:p>
    <w:p>
      <w:pPr>
        <w:spacing w:line="640" w:lineRule="exact"/>
        <w:jc w:val="center"/>
        <w:rPr>
          <w:rFonts w:hint="default" w:ascii="Times New Roman" w:hAnsi="Times New Roman" w:eastAsia="方正小标宋_GBK" w:cs="Times New Roman"/>
          <w:b w:val="0"/>
          <w:bCs/>
          <w:color w:val="auto"/>
          <w:sz w:val="44"/>
          <w:szCs w:val="44"/>
          <w:highlight w:val="none"/>
        </w:rPr>
      </w:pPr>
      <w:r>
        <w:rPr>
          <w:rFonts w:hint="default" w:ascii="Times New Roman" w:hAnsi="Times New Roman" w:eastAsia="方正小标宋_GBK" w:cs="Times New Roman"/>
          <w:b w:val="0"/>
          <w:bCs/>
          <w:color w:val="auto"/>
          <w:sz w:val="44"/>
          <w:szCs w:val="44"/>
          <w:highlight w:val="none"/>
        </w:rPr>
        <w:t>申报资料真实性声明</w:t>
      </w:r>
    </w:p>
    <w:p>
      <w:pPr>
        <w:spacing w:line="640" w:lineRule="exact"/>
        <w:jc w:val="center"/>
        <w:rPr>
          <w:rFonts w:hint="default" w:ascii="Times New Roman" w:hAnsi="Times New Roman" w:eastAsia="方正小标宋_GBK" w:cs="Times New Roman"/>
          <w:b/>
          <w:color w:val="auto"/>
          <w:sz w:val="44"/>
          <w:szCs w:val="44"/>
          <w:highlight w:val="none"/>
        </w:rPr>
      </w:pPr>
    </w:p>
    <w:p>
      <w:pPr>
        <w:spacing w:line="56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此次申报</w:t>
      </w:r>
      <w:r>
        <w:rPr>
          <w:rFonts w:hint="default" w:ascii="Times New Roman" w:hAnsi="Times New Roman" w:eastAsia="方正仿宋_GBK" w:cs="Times New Roman"/>
          <w:color w:val="auto"/>
          <w:sz w:val="32"/>
          <w:szCs w:val="32"/>
          <w:highlight w:val="none"/>
          <w:u w:val="single"/>
        </w:rPr>
        <w:t xml:space="preserve">       奖补资金  </w:t>
      </w:r>
      <w:r>
        <w:rPr>
          <w:rFonts w:hint="default" w:ascii="Times New Roman" w:hAnsi="Times New Roman" w:eastAsia="方正仿宋_GBK" w:cs="Times New Roman"/>
          <w:color w:val="auto"/>
          <w:sz w:val="32"/>
          <w:szCs w:val="32"/>
          <w:highlight w:val="none"/>
        </w:rPr>
        <w:t>所提交的申报材料均真实、合法。如有不实之处，愿负相应的法律责任，并承担由此产生的一切后果。</w:t>
      </w:r>
    </w:p>
    <w:p>
      <w:pPr>
        <w:spacing w:line="56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特此声明</w:t>
      </w:r>
    </w:p>
    <w:p>
      <w:pPr>
        <w:spacing w:line="560" w:lineRule="exact"/>
        <w:ind w:firstLine="640" w:firstLineChars="200"/>
        <w:rPr>
          <w:rFonts w:hint="default" w:ascii="Times New Roman" w:hAnsi="Times New Roman" w:eastAsia="方正仿宋_GBK" w:cs="Times New Roman"/>
          <w:color w:val="auto"/>
          <w:sz w:val="32"/>
          <w:szCs w:val="32"/>
          <w:highlight w:val="none"/>
        </w:rPr>
      </w:pPr>
    </w:p>
    <w:p>
      <w:pPr>
        <w:spacing w:line="56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 xml:space="preserve">                         法定代表人（负责人）：</w:t>
      </w:r>
    </w:p>
    <w:p>
      <w:pPr>
        <w:spacing w:line="56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 xml:space="preserve">                             单位（公章）：</w:t>
      </w:r>
    </w:p>
    <w:p>
      <w:pPr>
        <w:spacing w:line="56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 xml:space="preserve">                            年    月    日</w:t>
      </w:r>
    </w:p>
    <w:p>
      <w:pPr>
        <w:tabs>
          <w:tab w:val="left" w:pos="5960"/>
        </w:tabs>
        <w:rPr>
          <w:rFonts w:hint="default" w:ascii="Times New Roman" w:hAnsi="Times New Roman" w:eastAsia="方正黑体_GBK" w:cs="Times New Roman"/>
          <w:color w:val="auto"/>
          <w:sz w:val="32"/>
          <w:szCs w:val="32"/>
          <w:highlight w:val="none"/>
        </w:rPr>
      </w:pP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bookmarkStart w:id="0" w:name="_GoBack"/>
    <w:r>
      <w:rPr>
        <w:rFonts w:hint="eastAsia"/>
        <w:b/>
        <w:bCs/>
        <w:color w:val="FF0000"/>
        <w:lang w:val="en-US" w:eastAsia="zh-CN"/>
      </w:rPr>
      <w:t>”</w:t>
    </w:r>
    <w:bookmarkEnd w:id="0"/>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33FA0"/>
    <w:rsid w:val="074A007B"/>
    <w:rsid w:val="07BD1E6B"/>
    <w:rsid w:val="0A8F0613"/>
    <w:rsid w:val="0AC80F63"/>
    <w:rsid w:val="0BB609F1"/>
    <w:rsid w:val="0F945D04"/>
    <w:rsid w:val="11F5696D"/>
    <w:rsid w:val="131471B9"/>
    <w:rsid w:val="18BD6759"/>
    <w:rsid w:val="1FC1265C"/>
    <w:rsid w:val="2335428D"/>
    <w:rsid w:val="27E23E0A"/>
    <w:rsid w:val="2AA33CC2"/>
    <w:rsid w:val="2CB16CB0"/>
    <w:rsid w:val="34D43960"/>
    <w:rsid w:val="36020354"/>
    <w:rsid w:val="3D506E34"/>
    <w:rsid w:val="418E083C"/>
    <w:rsid w:val="44673AF8"/>
    <w:rsid w:val="47174D33"/>
    <w:rsid w:val="4C237579"/>
    <w:rsid w:val="4CCD3982"/>
    <w:rsid w:val="613379D5"/>
    <w:rsid w:val="631D162F"/>
    <w:rsid w:val="64AF2E7C"/>
    <w:rsid w:val="689322FA"/>
    <w:rsid w:val="68D16B49"/>
    <w:rsid w:val="706253DA"/>
    <w:rsid w:val="70BE613B"/>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2020-04-23T11:12:11Z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